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spacing w:lineRule="auto" w:line="240" w:before="120" w:after="120"/>
        <w:jc w:val="center"/>
        <w:rPr>
          <w:rFonts w:ascii="Arial" w:hAnsi="Arial" w:eastAsia="Times New Roman" w:cs="Arial"/>
          <w:b/>
          <w:b/>
          <w:sz w:val="28"/>
          <w:szCs w:val="20"/>
        </w:rPr>
      </w:pPr>
      <w:r>
        <w:rPr>
          <w:rFonts w:eastAsia="Times New Roman" w:cs="Arial" w:ascii="Arial" w:hAnsi="Arial"/>
          <w:b/>
          <w:sz w:val="28"/>
          <w:szCs w:val="20"/>
        </w:rPr>
        <w:t>Scheda informativa n. 14.1</w:t>
      </w:r>
    </w:p>
    <w:p>
      <w:pPr>
        <w:pStyle w:val="Normal"/>
        <w:widowControl w:val="false"/>
        <w:spacing w:lineRule="auto" w:line="240" w:before="120" w:after="120"/>
        <w:jc w:val="center"/>
        <w:rPr>
          <w:rFonts w:ascii="Arial" w:hAnsi="Arial" w:eastAsia="Times New Roman" w:cs="Arial"/>
          <w:b/>
          <w:b/>
          <w:sz w:val="32"/>
          <w:szCs w:val="20"/>
        </w:rPr>
      </w:pPr>
      <w:r>
        <w:rPr>
          <w:rFonts w:eastAsia="Times New Roman" w:cs="Arial" w:ascii="Arial" w:hAnsi="Arial"/>
          <w:b/>
          <w:sz w:val="32"/>
          <w:szCs w:val="20"/>
        </w:rPr>
        <w:t>Locali di stallaggio</w:t>
      </w:r>
    </w:p>
    <w:p>
      <w:pPr>
        <w:pStyle w:val="Normal"/>
        <w:widowControl w:val="false"/>
        <w:spacing w:lineRule="auto" w:line="240" w:before="240" w:after="240"/>
        <w:jc w:val="both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 xml:space="preserve">TIPOLOGIE DI PRATICHE: </w:t>
      </w:r>
    </w:p>
    <w:p>
      <w:pPr>
        <w:pStyle w:val="Normal"/>
        <w:widowControl w:val="false"/>
        <w:spacing w:lineRule="auto" w:line="240" w:before="120" w:after="120"/>
        <w:jc w:val="both"/>
        <w:rPr/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 xml:space="preserve">Le tipologie </w:t>
      </w:r>
      <w:r>
        <w:rPr>
          <w:rFonts w:eastAsia="Times New Roman" w:cs="Arial" w:ascii="Arial" w:hAnsi="Arial"/>
          <w:sz w:val="20"/>
          <w:szCs w:val="20"/>
          <w:lang w:eastAsia="it-IT"/>
        </w:rPr>
        <w:t>di pratiche in cui si articola l’attività di stallaggio sono le seguenti:</w:t>
      </w:r>
    </w:p>
    <w:p>
      <w:pPr>
        <w:pStyle w:val="Normal"/>
        <w:widowControl w:val="false"/>
        <w:numPr>
          <w:ilvl w:val="0"/>
          <w:numId w:val="3"/>
        </w:numPr>
        <w:suppressAutoHyphens w:val="false"/>
        <w:spacing w:lineRule="auto" w:line="240" w:before="120" w:after="120"/>
        <w:ind w:left="720" w:hanging="357"/>
        <w:jc w:val="both"/>
        <w:rPr/>
      </w:pPr>
      <w:r>
        <w:rPr>
          <w:rFonts w:eastAsia="Times New Roman" w:cs="Arial" w:ascii="Arial" w:hAnsi="Arial"/>
          <w:sz w:val="20"/>
          <w:szCs w:val="20"/>
          <w:lang w:eastAsia="it-IT"/>
        </w:rPr>
        <w:t>avvio dell’attività;</w:t>
      </w:r>
    </w:p>
    <w:p>
      <w:pPr>
        <w:pStyle w:val="Normal"/>
        <w:widowControl w:val="false"/>
        <w:numPr>
          <w:ilvl w:val="0"/>
          <w:numId w:val="3"/>
        </w:numPr>
        <w:suppressAutoHyphens w:val="false"/>
        <w:spacing w:lineRule="auto" w:line="240" w:before="120" w:after="120"/>
        <w:ind w:left="720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subingresso;</w:t>
      </w:r>
    </w:p>
    <w:p>
      <w:pPr>
        <w:pStyle w:val="Normal"/>
        <w:widowControl w:val="false"/>
        <w:numPr>
          <w:ilvl w:val="0"/>
          <w:numId w:val="3"/>
        </w:numPr>
        <w:suppressAutoHyphens w:val="false"/>
        <w:spacing w:lineRule="auto" w:line="240" w:before="120" w:after="120"/>
        <w:ind w:left="720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cessazione dell’attività.</w:t>
      </w:r>
    </w:p>
    <w:p>
      <w:pPr>
        <w:pStyle w:val="Normal"/>
        <w:widowControl w:val="false"/>
        <w:spacing w:lineRule="auto" w:line="240" w:before="240" w:after="240"/>
        <w:jc w:val="both"/>
        <w:rPr>
          <w:rFonts w:ascii="Arial" w:hAnsi="Arial" w:eastAsia="Times New Roman" w:cs="Arial"/>
          <w:b/>
          <w:b/>
          <w:sz w:val="20"/>
          <w:szCs w:val="20"/>
        </w:rPr>
      </w:pPr>
      <w:r>
        <w:rPr>
          <w:rFonts w:eastAsia="Times New Roman" w:cs="Arial" w:ascii="Arial" w:hAnsi="Arial"/>
          <w:b/>
          <w:sz w:val="20"/>
          <w:szCs w:val="20"/>
        </w:rPr>
        <w:t>DESTINATARI</w:t>
      </w:r>
    </w:p>
    <w:p>
      <w:pPr>
        <w:pStyle w:val="Normal"/>
        <w:shd w:fill="FFFFFF" w:val="clear"/>
        <w:suppressAutoHyphens w:val="false"/>
        <w:spacing w:lineRule="auto" w:line="240" w:before="120" w:after="120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Imprese che intendono avviare attività di stallaggio.</w:t>
      </w:r>
    </w:p>
    <w:p>
      <w:pPr>
        <w:pStyle w:val="Normal"/>
        <w:widowControl w:val="false"/>
        <w:spacing w:lineRule="auto" w:line="240" w:before="240" w:after="240"/>
        <w:jc w:val="both"/>
        <w:rPr>
          <w:rFonts w:ascii="Arial" w:hAnsi="Arial" w:eastAsia="Times New Roman" w:cs="Arial"/>
          <w:b/>
          <w:b/>
          <w:sz w:val="20"/>
          <w:szCs w:val="20"/>
        </w:rPr>
      </w:pPr>
      <w:r>
        <w:rPr>
          <w:rFonts w:eastAsia="Times New Roman" w:cs="Arial" w:ascii="Arial" w:hAnsi="Arial"/>
          <w:b/>
          <w:sz w:val="20"/>
          <w:szCs w:val="20"/>
        </w:rPr>
        <w:t>DESCRIZIONE</w:t>
      </w:r>
    </w:p>
    <w:p>
      <w:pPr>
        <w:pStyle w:val="Normal"/>
        <w:spacing w:lineRule="auto" w:line="240" w:before="120" w:after="120"/>
        <w:jc w:val="both"/>
        <w:rPr/>
      </w:pPr>
      <w:r>
        <w:rPr>
          <w:rFonts w:eastAsia="Times New Roman" w:cs="Arial" w:ascii="Arial" w:hAnsi="Arial"/>
          <w:sz w:val="20"/>
          <w:szCs w:val="20"/>
          <w:lang w:eastAsia="it-IT"/>
        </w:rPr>
        <w:t>Per attività di stallaggio si intende il servizio di ricovero di animali, permanente o temporaneo, di proprietà del titolare o di terzi (ad es. maneggio o scuderia, pensione per animali, etc.).</w:t>
      </w:r>
    </w:p>
    <w:p>
      <w:pPr>
        <w:pStyle w:val="Normal"/>
        <w:widowControl w:val="false"/>
        <w:spacing w:lineRule="auto" w:line="240" w:before="240" w:after="240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NORMATIVA DI RIFERIMENTO</w:t>
      </w:r>
    </w:p>
    <w:p>
      <w:pPr>
        <w:pStyle w:val="Normal"/>
        <w:widowControl w:val="false"/>
        <w:numPr>
          <w:ilvl w:val="0"/>
          <w:numId w:val="5"/>
        </w:numPr>
        <w:suppressAutoHyphens w:val="false"/>
        <w:spacing w:lineRule="auto" w:line="240" w:before="100" w:after="100"/>
        <w:ind w:left="720" w:hanging="357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Testo Unico delle Leggi di Pubblica Sicurezza (R.D. n. 773/1931)</w:t>
      </w:r>
      <w:bookmarkStart w:id="0" w:name="inizio"/>
      <w:bookmarkEnd w:id="0"/>
      <w:r>
        <w:rPr>
          <w:rFonts w:eastAsia="Times New Roman" w:cs="Arial" w:ascii="Arial" w:hAnsi="Arial"/>
          <w:bCs/>
          <w:sz w:val="20"/>
          <w:szCs w:val="20"/>
          <w:lang w:eastAsia="it-IT"/>
        </w:rPr>
        <w:t>;</w:t>
      </w:r>
    </w:p>
    <w:p>
      <w:pPr>
        <w:pStyle w:val="Normal"/>
        <w:widowControl w:val="false"/>
        <w:numPr>
          <w:ilvl w:val="0"/>
          <w:numId w:val="5"/>
        </w:numPr>
        <w:suppressAutoHyphens w:val="false"/>
        <w:spacing w:lineRule="auto" w:line="240" w:before="100" w:after="100"/>
        <w:ind w:left="720" w:hanging="357"/>
        <w:jc w:val="both"/>
        <w:rPr/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Regolamento per l’esecuzione del T.U.L.P.S. (R.D. n. 635/1940);</w:t>
      </w:r>
    </w:p>
    <w:p>
      <w:pPr>
        <w:pStyle w:val="Normal"/>
        <w:widowControl w:val="false"/>
        <w:numPr>
          <w:ilvl w:val="0"/>
          <w:numId w:val="5"/>
        </w:numPr>
        <w:suppressAutoHyphens w:val="false"/>
        <w:spacing w:lineRule="auto" w:line="240" w:before="100" w:after="100"/>
        <w:ind w:left="720" w:hanging="357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D.P.R. n. 616/1977;</w:t>
      </w:r>
    </w:p>
    <w:p>
      <w:pPr>
        <w:pStyle w:val="Normal"/>
        <w:widowControl w:val="false"/>
        <w:numPr>
          <w:ilvl w:val="0"/>
          <w:numId w:val="2"/>
        </w:numPr>
        <w:shd w:fill="FFFFFF" w:val="clear"/>
        <w:suppressAutoHyphens w:val="false"/>
        <w:spacing w:lineRule="auto" w:line="240" w:before="100" w:after="100"/>
        <w:ind w:left="720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Legge n. 241/1990; D.lgs. n. 126/2016; D.lgs. n. 222/2016;</w:t>
      </w:r>
    </w:p>
    <w:p>
      <w:pPr>
        <w:pStyle w:val="Normal"/>
        <w:widowControl w:val="false"/>
        <w:numPr>
          <w:ilvl w:val="0"/>
          <w:numId w:val="2"/>
        </w:numPr>
        <w:shd w:fill="FFFFFF" w:val="clear"/>
        <w:suppressAutoHyphens w:val="false"/>
        <w:spacing w:lineRule="auto" w:line="240" w:before="100" w:after="100"/>
        <w:ind w:left="720" w:hanging="357"/>
        <w:jc w:val="both"/>
        <w:rPr/>
      </w:pPr>
      <w:r>
        <w:rPr>
          <w:rFonts w:cs="Arial" w:ascii="Arial" w:hAnsi="Arial"/>
          <w:sz w:val="20"/>
          <w:szCs w:val="20"/>
        </w:rPr>
        <w:t>D.lgs.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n. 159/2011 “</w:t>
      </w:r>
      <w:r>
        <w:rPr>
          <w:rFonts w:eastAsia="Times New Roman" w:cs="Arial" w:ascii="Arial" w:hAnsi="Arial"/>
          <w:i/>
          <w:sz w:val="20"/>
          <w:szCs w:val="20"/>
          <w:lang w:eastAsia="it-IT"/>
        </w:rPr>
        <w:t>Codice delle leggi antimafia e delle misure di prevenzione…</w:t>
      </w:r>
      <w:r>
        <w:rPr>
          <w:rFonts w:eastAsia="Times New Roman" w:cs="Arial" w:ascii="Arial" w:hAnsi="Arial"/>
          <w:sz w:val="20"/>
          <w:szCs w:val="20"/>
          <w:lang w:eastAsia="it-IT"/>
        </w:rPr>
        <w:t>”.</w:t>
      </w:r>
    </w:p>
    <w:p>
      <w:pPr>
        <w:pStyle w:val="Normal"/>
        <w:widowControl w:val="false"/>
        <w:shd w:fill="FFFFFF" w:val="clear"/>
        <w:spacing w:lineRule="auto" w:line="240" w:before="240" w:after="240"/>
        <w:jc w:val="both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ADEMPIMENTI E MODALITÀ DI AVVIO DELL’ATTIVITÀ</w:t>
      </w:r>
    </w:p>
    <w:p>
      <w:pPr>
        <w:pStyle w:val="Normal"/>
        <w:shd w:fill="FFFFFF" w:val="clear"/>
        <w:suppressAutoHyphens w:val="false"/>
        <w:spacing w:lineRule="auto" w:line="240" w:before="100" w:after="100"/>
        <w:rPr/>
      </w:pPr>
      <w:r>
        <w:rPr>
          <w:rFonts w:eastAsia="Times New Roman" w:cs="Arial" w:ascii="Arial" w:hAnsi="Arial"/>
          <w:sz w:val="20"/>
          <w:szCs w:val="20"/>
          <w:lang w:eastAsia="it-IT"/>
        </w:rPr>
        <w:t xml:space="preserve">Preliminarmente </w:t>
      </w:r>
      <w:r>
        <w:rPr>
          <w:rFonts w:eastAsia="Times New Roman" w:cs="Arial" w:ascii="Arial" w:hAnsi="Arial"/>
          <w:b/>
          <w:sz w:val="20"/>
          <w:szCs w:val="20"/>
          <w:lang w:eastAsia="it-IT"/>
        </w:rPr>
        <w:t>è necessario</w:t>
      </w:r>
      <w:r>
        <w:rPr>
          <w:rFonts w:eastAsia="Times New Roman" w:cs="Arial" w:ascii="Arial" w:hAnsi="Arial"/>
          <w:sz w:val="20"/>
          <w:szCs w:val="20"/>
          <w:lang w:eastAsia="it-IT"/>
        </w:rPr>
        <w:t>:</w:t>
      </w:r>
    </w:p>
    <w:p>
      <w:pPr>
        <w:pStyle w:val="Normal"/>
        <w:widowControl w:val="false"/>
        <w:numPr>
          <w:ilvl w:val="0"/>
          <w:numId w:val="1"/>
        </w:numPr>
        <w:shd w:fill="FFFFFF" w:val="clear"/>
        <w:suppressAutoHyphens w:val="false"/>
        <w:spacing w:lineRule="auto" w:line="240" w:before="100" w:after="100"/>
        <w:ind w:left="720" w:hanging="357"/>
        <w:jc w:val="both"/>
        <w:rPr/>
      </w:pP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costituire una impresa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in forma individuale o societaria o cooperativa;</w:t>
      </w:r>
    </w:p>
    <w:p>
      <w:pPr>
        <w:pStyle w:val="Normal"/>
        <w:widowControl w:val="false"/>
        <w:numPr>
          <w:ilvl w:val="0"/>
          <w:numId w:val="1"/>
        </w:numPr>
        <w:shd w:fill="FFFFFF" w:val="clear"/>
        <w:suppressAutoHyphens w:val="false"/>
        <w:spacing w:lineRule="auto" w:line="240" w:before="100" w:after="100"/>
        <w:ind w:left="720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procedere all’iscrizione all’Albo delle Imprese</w:t>
      </w:r>
      <w:r>
        <w:rPr>
          <w:rFonts w:eastAsia="Times New Roman" w:cs="Arial" w:ascii="Arial" w:hAnsi="Arial"/>
          <w:sz w:val="20"/>
          <w:szCs w:val="20"/>
          <w:lang w:eastAsia="it-IT"/>
        </w:rPr>
        <w:t>.</w:t>
      </w:r>
    </w:p>
    <w:p>
      <w:pPr>
        <w:pStyle w:val="Normal"/>
        <w:shd w:fill="FFFFFF" w:val="clear"/>
        <w:spacing w:lineRule="auto" w:line="240" w:before="100" w:after="100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Ai sensi dell’art. 2, commi 2 e 4 del D.lgs. n. 126/2016:</w:t>
      </w:r>
    </w:p>
    <w:p>
      <w:pPr>
        <w:pStyle w:val="Normal"/>
        <w:widowControl w:val="false"/>
        <w:numPr>
          <w:ilvl w:val="0"/>
          <w:numId w:val="4"/>
        </w:numPr>
        <w:shd w:fill="FFFFFF" w:val="clear"/>
        <w:suppressAutoHyphens w:val="false"/>
        <w:spacing w:lineRule="auto" w:line="240" w:before="100" w:after="100"/>
        <w:jc w:val="both"/>
        <w:rPr/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l</w:t>
      </w:r>
      <w:r>
        <w:rPr>
          <w:rFonts w:eastAsia="Times New Roman" w:cs="Arial" w:ascii="Arial" w:hAnsi="Arial"/>
          <w:sz w:val="20"/>
          <w:szCs w:val="20"/>
          <w:lang w:eastAsia="it-IT"/>
        </w:rPr>
        <w:t>’avvio dell’attività e le vicende successive sono subordinate alla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compilazione 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degli specifici moduli, 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disponibili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 xml:space="preserve">sul sito istituzionale del Comune, da presentare esclusivamente in modalità telematica allo Sportello Unico 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>del Comune stesso;</w:t>
      </w:r>
    </w:p>
    <w:p>
      <w:pPr>
        <w:pStyle w:val="Normal"/>
        <w:widowControl w:val="false"/>
        <w:numPr>
          <w:ilvl w:val="0"/>
          <w:numId w:val="4"/>
        </w:numPr>
        <w:shd w:fill="FFFFFF" w:val="clear"/>
        <w:suppressAutoHyphens w:val="false"/>
        <w:spacing w:lineRule="auto" w:line="240" w:before="100" w:after="100"/>
        <w:jc w:val="both"/>
        <w:rPr/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il Comune può chiedere agli interessati informazioni/documenti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solo in caso di mancata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corrispondenza del contenuto della Segnalazione/Comunicazione e relativi allegati, ai moduli ed elenchi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pubblicati sul proprio sito istituzionale.</w:t>
      </w:r>
    </w:p>
    <w:p>
      <w:pPr>
        <w:pStyle w:val="Normal"/>
        <w:widowControl w:val="false"/>
        <w:suppressAutoHyphens w:val="false"/>
        <w:spacing w:lineRule="auto" w:line="240" w:before="100" w:after="100"/>
        <w:jc w:val="both"/>
        <w:rPr/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Qualora la Segnalazione/Comunicazione difetti degli elementi essenziali non potrà essere esaminata e, pertanto, sarà dichiarata irricevibile e archiviata.</w:t>
      </w:r>
    </w:p>
    <w:p>
      <w:pPr>
        <w:pStyle w:val="Normal"/>
        <w:widowControl w:val="false"/>
        <w:spacing w:lineRule="auto" w:line="240" w:before="240" w:after="240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REGIME AMMINISTRATIVO E CONCENTRAZIONE DEI REGIMI AMMINISTRATIVI</w:t>
      </w:r>
    </w:p>
    <w:p>
      <w:pPr>
        <w:pStyle w:val="Normal"/>
        <w:widowControl w:val="false"/>
        <w:spacing w:lineRule="auto" w:line="240" w:before="120" w:after="120"/>
        <w:jc w:val="both"/>
        <w:rPr/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Ai sensi dell’art. 19bis, L. n. 241/1990, la pratica deve essere presentata allo Sportello Unico del Comune, anche in caso di procedimenti connessi di competenza di altre amministrazioni o diverse articolazioni interne dell’amministrazione ricevente.</w:t>
      </w:r>
    </w:p>
    <w:p>
      <w:pPr>
        <w:pStyle w:val="Normal"/>
        <w:widowControl w:val="false"/>
        <w:spacing w:lineRule="auto" w:line="240" w:before="120" w:after="120"/>
        <w:jc w:val="both"/>
        <w:rPr/>
      </w:pPr>
      <w:r>
        <w:rPr/>
        <w:t>Per ciascuna tipologia di attività di cui alla presente Scheda informativa, la Tabella seguente illustra il regime amministrativo cui è soggetta, il regime amministrativo applicabile in caso di concentrazione con altre attività e i riferimenti normativi:</w:t>
      </w:r>
    </w:p>
    <w:tbl>
      <w:tblPr>
        <w:tblW w:w="98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439"/>
        <w:gridCol w:w="2334"/>
        <w:gridCol w:w="1961"/>
        <w:gridCol w:w="2518"/>
        <w:gridCol w:w="2611"/>
      </w:tblGrid>
      <w:tr>
        <w:trPr/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Next w:val="true"/>
              <w:suppressAutoHyphens w:val="false"/>
              <w:snapToGrid w:val="false"/>
              <w:spacing w:lineRule="auto" w:line="240" w:before="100" w:after="100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Next w:val="true"/>
              <w:suppressAutoHyphens w:val="false"/>
              <w:spacing w:lineRule="auto" w:line="240" w:before="100" w:after="100"/>
              <w:jc w:val="center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val="en-US"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ATTIVITÀ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Next w:val="true"/>
              <w:suppressAutoHyphens w:val="false"/>
              <w:spacing w:lineRule="auto" w:line="240" w:before="100" w:after="100"/>
              <w:jc w:val="center"/>
              <w:rPr/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REGIME AMMINISTRATIVO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Next w:val="true"/>
              <w:suppressAutoHyphens w:val="false"/>
              <w:spacing w:lineRule="auto" w:line="240" w:before="100" w:after="100"/>
              <w:jc w:val="center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val="en-US"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CONCENTRAZIONE DEI REGIMI AMMINISTRATIVI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Next w:val="true"/>
              <w:suppressAutoHyphens w:val="false"/>
              <w:spacing w:lineRule="auto" w:line="240" w:before="100" w:after="100"/>
              <w:jc w:val="center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RIFERIMENTI NORMATIVI</w:t>
            </w:r>
          </w:p>
        </w:tc>
      </w:tr>
      <w:tr>
        <w:trPr>
          <w:trHeight w:val="218" w:hRule="atLeast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00" w:after="100"/>
              <w:jc w:val="center"/>
              <w:rPr>
                <w:rFonts w:ascii="Arial" w:hAnsi="Arial" w:eastAsia="Times New Roman" w:cs="Arial"/>
                <w:bCs/>
                <w:sz w:val="20"/>
                <w:szCs w:val="20"/>
                <w:lang w:val="en-US"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96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00" w:after="100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Avvio dell’attività</w:t>
            </w:r>
            <w:r>
              <w:rPr>
                <w:rFonts w:eastAsia="Times New Roman" w:cs="Arial" w:ascii="Arial" w:hAnsi="Arial"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00" w:after="100"/>
              <w:jc w:val="center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SCIA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00" w:after="100"/>
              <w:rPr>
                <w:rFonts w:ascii="Arial" w:hAnsi="Arial" w:eastAsia="Times New Roman" w:cs="Arial"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eastAsia="it-IT"/>
              </w:rPr>
              <w:t>La SCIA svolge anche la funzione di autorizzazione per i fini di cui all’art. 86 TULPS</w:t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autoSpaceDE w:val="false"/>
              <w:spacing w:lineRule="auto" w:line="240" w:before="100" w:after="100"/>
              <w:rPr>
                <w:rFonts w:ascii="Arial" w:hAnsi="Arial" w:eastAsia="Times New Roman" w:cs="Arial"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eastAsia="it-IT"/>
              </w:rPr>
              <w:t>Testo Unico delle Leggi di Pubblica Sicurezza di cui al R.D. n. 773/1931, art. 86, c.1, secondo periodo</w:t>
            </w:r>
          </w:p>
          <w:p>
            <w:pPr>
              <w:pStyle w:val="Normal"/>
              <w:suppressAutoHyphens w:val="false"/>
              <w:autoSpaceDE w:val="false"/>
              <w:spacing w:lineRule="auto" w:line="240" w:before="100" w:after="100"/>
              <w:rPr>
                <w:rFonts w:ascii="Arial" w:hAnsi="Arial" w:eastAsia="Times New Roman" w:cs="Arial"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eastAsia="it-IT"/>
              </w:rPr>
              <w:t>D.P.R. n. 616/1977, art. 19, c.4</w:t>
            </w:r>
          </w:p>
        </w:tc>
      </w:tr>
      <w:tr>
        <w:trPr/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spacing w:lineRule="auto" w:line="240" w:before="100" w:after="100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00" w:after="100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Subingresso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00" w:after="100"/>
              <w:jc w:val="center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Comunicazione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spacing w:lineRule="auto" w:line="240" w:before="100" w:after="100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spacing w:lineRule="auto" w:line="240" w:before="100" w:after="100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</w:r>
          </w:p>
        </w:tc>
      </w:tr>
      <w:tr>
        <w:trPr/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spacing w:lineRule="auto" w:line="240" w:before="100" w:after="100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00" w:after="100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Cessazione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00" w:after="100"/>
              <w:jc w:val="center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Comunicazione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spacing w:lineRule="auto" w:line="240" w:before="100" w:after="100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</w:r>
          </w:p>
        </w:tc>
        <w:tc>
          <w:tcPr>
            <w:tcW w:w="2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spacing w:lineRule="auto" w:line="240" w:before="100" w:after="100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</w:r>
          </w:p>
        </w:tc>
      </w:tr>
    </w:tbl>
    <w:p>
      <w:pPr>
        <w:pStyle w:val="Normal"/>
        <w:shd w:fill="FFFFFF" w:val="clear"/>
        <w:suppressAutoHyphens w:val="false"/>
        <w:spacing w:lineRule="auto" w:line="240" w:before="240" w:after="120"/>
        <w:ind w:right="-142" w:hanging="0"/>
        <w:jc w:val="both"/>
        <w:rPr/>
      </w:pP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Alla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presentazione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della Segnalazione/Comunicazione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è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rilasciata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immediatamente ricevuta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, </w:t>
      </w:r>
      <w:r>
        <w:rPr>
          <w:rFonts w:eastAsia="Times New Roman" w:cs="Arial" w:ascii="Arial" w:hAnsi="Arial"/>
          <w:bCs/>
          <w:sz w:val="20"/>
          <w:szCs w:val="20"/>
          <w:highlight w:val="lightGray"/>
          <w:lang w:eastAsia="it-IT"/>
        </w:rPr>
        <w:t>anche in via telematica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>, la cui protocollazione coincide con l’effettiva presentazione da parte dell’interessato</w:t>
      </w:r>
      <w:r>
        <w:rPr>
          <w:rStyle w:val="FootnoteAnchor"/>
          <w:rFonts w:eastAsia="Times New Roman" w:cs="Arial" w:ascii="Arial" w:hAnsi="Arial"/>
          <w:bCs/>
          <w:sz w:val="20"/>
          <w:szCs w:val="20"/>
          <w:vertAlign w:val="superscript"/>
          <w:lang w:eastAsia="it-IT"/>
        </w:rPr>
        <w:footnoteReference w:id="2"/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>, con indicazione dei termini entro cui l’Amministrazione è tenuta, ove previsto, a rispondere o entro cui il silenzio equivale ad accoglimento dell’istanza. In caso di pratiche presentate ad ufficio diverso da quello competente, i termini dei controlli ex artt. 19, c.3, L. n. 241/90, decorrono dal loro ricevimento da parte dell’ufficio competente (art. 18-bis, L. n. 241/90).</w:t>
      </w:r>
    </w:p>
    <w:p>
      <w:pPr>
        <w:pStyle w:val="Normal"/>
        <w:widowControl w:val="false"/>
        <w:suppressAutoHyphens w:val="false"/>
        <w:spacing w:lineRule="auto" w:line="240" w:before="120" w:after="240"/>
        <w:jc w:val="both"/>
        <w:rPr>
          <w:rFonts w:cs="Arial"/>
        </w:rPr>
      </w:pPr>
      <w:r>
        <w:rPr>
          <w:rFonts w:eastAsia="Arial" w:cs="Arial" w:ascii="Arial" w:hAnsi="Arial"/>
          <w:b/>
          <w:sz w:val="20"/>
          <w:szCs w:val="20"/>
          <w:lang w:eastAsia="it-IT"/>
        </w:rPr>
        <w:t>Elenco stati, qualità personali, fatti oggetto di dichiarazione sostitutiva necessari a corredo della Segnalazione/Comunicazione, con indicazione delle norme che ne prevedono la produzione</w:t>
      </w:r>
      <w:r>
        <w:rPr>
          <w:rFonts w:eastAsia="Arial" w:cs="Arial" w:ascii="Arial" w:hAnsi="Arial"/>
          <w:sz w:val="20"/>
          <w:szCs w:val="20"/>
          <w:lang w:eastAsia="it-IT"/>
        </w:rPr>
        <w:t xml:space="preserve"> (a</w:t>
      </w:r>
      <w:r>
        <w:rPr>
          <w:rFonts w:eastAsia="Arial" w:cs="Arial" w:ascii="Arial" w:hAnsi="Arial"/>
          <w:bCs/>
          <w:sz w:val="20"/>
          <w:szCs w:val="20"/>
          <w:lang w:eastAsia="it-IT"/>
        </w:rPr>
        <w:t>rt. 2,.c2, D.lgs. n. 126/2016</w:t>
      </w:r>
      <w:r>
        <w:rPr>
          <w:rFonts w:eastAsia="Arial" w:cs="Arial" w:ascii="Arial" w:hAnsi="Arial"/>
          <w:sz w:val="20"/>
          <w:szCs w:val="20"/>
          <w:lang w:eastAsia="it-IT"/>
        </w:rPr>
        <w:t xml:space="preserve">). </w:t>
      </w:r>
    </w:p>
    <w:tbl>
      <w:tblPr>
        <w:tblW w:w="98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5570"/>
        <w:gridCol w:w="4293"/>
      </w:tblGrid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Stati, qualità personali e fatti oggetto di dichiarazione sostitutiva necessari a corredo della Segnalazione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Norme che ne prevedono la produzione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 xml:space="preserve">Dati identificativi dell’impresa 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tabs>
                <w:tab w:val="left" w:pos="7371" w:leader="none"/>
                <w:tab w:val="left" w:pos="9639" w:leader="none"/>
              </w:tabs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</w:rPr>
              <w:t xml:space="preserve">Art. 2195 codice 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Arial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Qualità rivestita dal titolare dell’impresa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Next w:val="true"/>
              <w:numPr>
                <w:ilvl w:val="0"/>
                <w:numId w:val="0"/>
              </w:numPr>
              <w:suppressAutoHyphens w:val="false"/>
              <w:spacing w:lineRule="auto" w:line="240" w:before="120" w:after="120"/>
              <w:outlineLvl w:val="0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Art. 2082 codice civile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Natura, ubicazione e insegna dell'esercizio</w:t>
            </w:r>
            <w:r>
              <w:rPr>
                <w:rFonts w:cs="Arial"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Art. 152, regolamento per l’esecuzione del TULPS (R.D. n. 635/1940)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Rispetto norme urbanistiche, edilizie, di destinazione d’uso e igienico-sanitarie</w:t>
            </w:r>
            <w:r>
              <w:rPr>
                <w:rStyle w:val="FootnoteCharacters"/>
                <w:rStyle w:val="FootnoteAnchor"/>
                <w:rFonts w:eastAsia="Times New Roman" w:cs="Arial" w:ascii="Arial" w:hAnsi="Arial"/>
                <w:sz w:val="20"/>
                <w:szCs w:val="20"/>
                <w:lang w:eastAsia="it-IT"/>
              </w:rPr>
              <w:footnoteReference w:id="3"/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Disposizioni urbanistiche e igienico-sanitarie comunali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Assenza cause di divieto, decadenza o sospensione di cui al libro primo, titolo primo, D.lgs. N.159/2011 (Legge antimafia)</w:t>
            </w:r>
            <w:r>
              <w:rPr>
                <w:rStyle w:val="FootnoteCharacters"/>
                <w:rStyle w:val="FootnoteAnchor"/>
                <w:rFonts w:eastAsia="Times New Roman" w:cs="Arial" w:ascii="Arial" w:hAnsi="Arial"/>
                <w:sz w:val="20"/>
                <w:szCs w:val="20"/>
                <w:lang w:eastAsia="it-IT"/>
              </w:rPr>
              <w:footnoteReference w:id="4"/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Arial" w:cs="Arial"/>
                <w:sz w:val="20"/>
                <w:szCs w:val="20"/>
                <w:lang w:val="en-US"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val="en-US" w:eastAsia="it-IT"/>
              </w:rPr>
              <w:t>Art. 67, c.1, lett. A), D. Lgs N. 159/2011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Paragrafoelenco"/>
              <w:spacing w:lineRule="auto" w:line="240" w:before="120" w:after="120"/>
              <w:ind w:left="0" w:hanging="0"/>
              <w:contextualSpacing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Insussistenza condizioni previste dagli art. 11 e 92 del TULPS</w:t>
            </w:r>
            <w:r>
              <w:rPr>
                <w:rStyle w:val="FootnoteCharacters"/>
                <w:rFonts w:eastAsia="Times New Roman" w:cs="Arial" w:ascii="Arial" w:hAnsi="Arial"/>
                <w:sz w:val="20"/>
                <w:szCs w:val="20"/>
                <w:lang w:eastAsia="it-IT"/>
              </w:rPr>
              <w:t xml:space="preserve"> </w:t>
            </w:r>
            <w:r>
              <w:rPr>
                <w:rStyle w:val="FootnoteCharacters"/>
                <w:rStyle w:val="FootnoteAnchor"/>
                <w:rFonts w:eastAsia="Times New Roman" w:cs="Arial" w:ascii="Arial" w:hAnsi="Arial"/>
                <w:sz w:val="20"/>
                <w:szCs w:val="20"/>
                <w:lang w:eastAsia="it-IT"/>
              </w:rPr>
              <w:footnoteReference w:id="5"/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highlight w:val="yellow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Artt. 11 e 92, TULPS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uppressAutoHyphens w:val="false"/>
              <w:spacing w:lineRule="auto" w:line="240" w:before="120" w:after="120"/>
              <w:rPr>
                <w:rFonts w:ascii="Arial" w:hAnsi="Arial" w:eastAsia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Conformità attrezzature alle prescrizioni delle vigenti normative</w:t>
            </w:r>
            <w:r>
              <w:rPr>
                <w:rStyle w:val="FootnoteCharacters"/>
                <w:rStyle w:val="FootnoteAnchor"/>
                <w:rFonts w:eastAsia="Times New Roman" w:cs="Arial" w:ascii="Arial" w:hAnsi="Arial"/>
                <w:sz w:val="20"/>
                <w:szCs w:val="20"/>
                <w:lang w:eastAsia="it-IT"/>
              </w:rPr>
              <w:footnoteReference w:id="6"/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Normative di sicurezza e igienico-sanitarie settoriali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Rispetto norme sulla sicurezza nei luoghi di lavoro</w:t>
            </w:r>
            <w:r>
              <w:rPr>
                <w:rStyle w:val="FootnoteCharacters"/>
                <w:rStyle w:val="FootnoteAnchor"/>
                <w:rFonts w:eastAsia="Times New Roman" w:cs="Arial" w:ascii="Arial" w:hAnsi="Arial"/>
                <w:sz w:val="20"/>
                <w:szCs w:val="20"/>
                <w:lang w:eastAsia="it-IT"/>
              </w:rPr>
              <w:footnoteReference w:id="7"/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D.lgs. N. 81/2008</w:t>
            </w:r>
          </w:p>
        </w:tc>
      </w:tr>
      <w:tr>
        <w:trPr>
          <w:trHeight w:val="234" w:hRule="atLeast"/>
        </w:trPr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Prestazione del consenso al trattamento dei dati personali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val="en-US"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val="en-US" w:eastAsia="it-IT"/>
              </w:rPr>
              <w:t>Art. 13, D. Lgs. N. 196/2003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iCs/>
                <w:sz w:val="20"/>
                <w:szCs w:val="20"/>
                <w:lang w:eastAsia="it-IT"/>
              </w:rPr>
              <w:t xml:space="preserve">Dichiarazione 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  <w:lang w:eastAsia="it-IT"/>
              </w:rPr>
              <w:t>rispetto disposizioni D.P.R. n. 445/2000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val="en-US" w:eastAsia="it-IT"/>
              </w:rPr>
            </w:pPr>
            <w:r>
              <w:rPr>
                <w:rFonts w:eastAsia="Times New Roman" w:cs="Arial" w:ascii="Arial" w:hAnsi="Arial"/>
                <w:iCs/>
                <w:sz w:val="20"/>
                <w:szCs w:val="20"/>
                <w:lang w:val="en-US" w:eastAsia="it-IT"/>
              </w:rPr>
              <w:t>Art. 71 e ss., DPR n. 445/2000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Dichiarazioni persone tenute (amministratori, soci) – solo per società, associazioni, organismi collettivi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 xml:space="preserve">Artt. 67 e 85, </w:t>
            </w:r>
            <w:r>
              <w:rPr>
                <w:rFonts w:eastAsia="Times New Roman" w:cs="Arial" w:ascii="Arial" w:hAnsi="Arial"/>
                <w:sz w:val="20"/>
                <w:szCs w:val="20"/>
                <w:lang w:val="en-US" w:eastAsia="it-IT"/>
              </w:rPr>
              <w:t>D. Lgs</w:t>
            </w: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 xml:space="preserve"> N. 159/2011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Impegno ad allegare copia della documentazione richiesta dalla modulistica comunale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val="en-US" w:eastAsia="it-IT"/>
              </w:rPr>
            </w:pPr>
            <w:r>
              <w:rPr>
                <w:rFonts w:eastAsia="Arial" w:cs="Arial" w:ascii="Arial" w:hAnsi="Arial"/>
                <w:sz w:val="20"/>
                <w:szCs w:val="20"/>
                <w:lang w:val="en-US" w:eastAsia="it-IT"/>
              </w:rPr>
              <w:t xml:space="preserve">Art. 2, c.2, </w:t>
            </w:r>
            <w:r>
              <w:rPr>
                <w:rFonts w:eastAsia="Times New Roman" w:cs="Arial" w:ascii="Arial" w:hAnsi="Arial"/>
                <w:sz w:val="20"/>
                <w:szCs w:val="20"/>
                <w:lang w:val="en-US" w:eastAsia="it-IT"/>
              </w:rPr>
              <w:t>D. Lgs</w:t>
            </w:r>
            <w:r>
              <w:rPr>
                <w:rFonts w:eastAsia="Arial" w:cs="Arial" w:ascii="Arial" w:hAnsi="Arial"/>
                <w:sz w:val="20"/>
                <w:szCs w:val="20"/>
                <w:lang w:val="en-US" w:eastAsia="it-IT"/>
              </w:rPr>
              <w:t xml:space="preserve"> N. 126/2016</w:t>
            </w:r>
          </w:p>
        </w:tc>
      </w:tr>
    </w:tbl>
    <w:p>
      <w:pPr>
        <w:pStyle w:val="Normal"/>
        <w:widowControl w:val="false"/>
        <w:spacing w:lineRule="auto" w:line="240" w:before="240" w:after="240"/>
        <w:jc w:val="both"/>
        <w:rPr/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N.B. Per questa tipologia di attività non sono previste attestazioni/asseverazioni di tecnici abilitati/dichiarazioni di conformità delle Agenzie delle imprese, necessari a corredo della Segnalazione/Comunicazione.</w:t>
      </w:r>
    </w:p>
    <w:p>
      <w:pPr>
        <w:pStyle w:val="Normal"/>
        <w:widowControl w:val="false"/>
        <w:shd w:fill="FFFFFF" w:val="clear"/>
        <w:spacing w:lineRule="auto" w:line="240" w:before="240" w:after="240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DOCUMENTAZIONE DA ALLEGARE</w:t>
      </w:r>
      <w:r>
        <w:rPr>
          <w:rStyle w:val="FootnoteAnchor"/>
          <w:rFonts w:eastAsia="Times New Roman" w:cs="Arial" w:ascii="Arial" w:hAnsi="Arial"/>
          <w:sz w:val="20"/>
          <w:szCs w:val="20"/>
          <w:vertAlign w:val="superscript"/>
          <w:lang w:eastAsia="it-IT"/>
        </w:rPr>
        <w:footnoteReference w:id="8"/>
      </w:r>
    </w:p>
    <w:p>
      <w:pPr>
        <w:pStyle w:val="Normal"/>
        <w:widowControl w:val="false"/>
        <w:spacing w:lineRule="auto" w:line="240" w:before="240" w:after="240"/>
        <w:jc w:val="both"/>
        <w:rPr>
          <w:rFonts w:cs="Arial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Documentazione da allegare alla SCIA (a pena di irricevibilità):</w:t>
      </w:r>
    </w:p>
    <w:tbl>
      <w:tblPr>
        <w:tblW w:w="98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1572"/>
        <w:gridCol w:w="4854"/>
        <w:gridCol w:w="3437"/>
      </w:tblGrid>
      <w:tr>
        <w:trPr>
          <w:trHeight w:val="293" w:hRule="atLeast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Allegati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Denominazione allegato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Casi in cui è previsto l’allegato</w:t>
            </w:r>
          </w:p>
        </w:tc>
      </w:tr>
      <w:tr>
        <w:trPr>
          <w:trHeight w:val="356" w:hRule="atLeast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Wingdings" w:cs="Wingdings" w:ascii="Wingdings" w:hAnsi="Wingdings"/>
                <w:sz w:val="24"/>
                <w:szCs w:val="20"/>
                <w:lang w:eastAsia="en-US"/>
              </w:rPr>
              <w:t>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 xml:space="preserve">Procura/Delega 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Nel caso di procura/delega a presentare la segnalazione</w:t>
            </w:r>
          </w:p>
        </w:tc>
      </w:tr>
      <w:tr>
        <w:trPr/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Wingdings" w:cs="Wingdings" w:ascii="Wingdings" w:hAnsi="Wingdings"/>
                <w:sz w:val="24"/>
                <w:szCs w:val="20"/>
                <w:lang w:eastAsia="en-US"/>
              </w:rPr>
              <w:t>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Copia del documento di identità del/i titolare/i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Nel caso in cui la segnalazione non sia sottoscritta in forma digitale e in assenza di procura</w:t>
            </w:r>
          </w:p>
        </w:tc>
      </w:tr>
      <w:tr>
        <w:trPr>
          <w:trHeight w:val="106" w:hRule="atLeast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eastAsia="Wingdings" w:cs="Wingdings" w:ascii="Wingdings" w:hAnsi="Wingdings"/>
                <w:sz w:val="24"/>
                <w:szCs w:val="20"/>
                <w:lang w:eastAsia="en-US"/>
              </w:rPr>
              <w:t>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Copia permesso di soggiorno o carta di soggiorno del firmatario (se il permesso scade entro 30 giorni: copia della ricevuta della richiesta di rinnovo)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 xml:space="preserve">Nel caso di cittadini extracomunitari </w:t>
            </w:r>
          </w:p>
        </w:tc>
      </w:tr>
      <w:tr>
        <w:trPr/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eastAsia="Wingdings" w:cs="Wingdings" w:ascii="Wingdings" w:hAnsi="Wingdings"/>
                <w:sz w:val="24"/>
                <w:szCs w:val="20"/>
                <w:lang w:eastAsia="en-US"/>
              </w:rPr>
              <w:t></w:t>
            </w:r>
          </w:p>
        </w:tc>
        <w:tc>
          <w:tcPr>
            <w:tcW w:w="4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/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Dichiarazioni sul possesso dei requisiti da parte degli altri soci (allegato A del modello + copia del documento d’identità)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Sempre, in presenza di soggetti (ad es. soci) diversi dal dichiarante</w:t>
            </w:r>
          </w:p>
        </w:tc>
      </w:tr>
    </w:tbl>
    <w:p>
      <w:pPr>
        <w:pStyle w:val="Normal"/>
        <w:widowControl w:val="false"/>
        <w:spacing w:lineRule="auto" w:line="240" w:before="240" w:after="240"/>
        <w:jc w:val="both"/>
        <w:rPr>
          <w:rFonts w:cs="Arial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Documentazione da allegare alla Comunicazione (a pena di irricevibilità):</w:t>
      </w:r>
    </w:p>
    <w:tbl>
      <w:tblPr>
        <w:tblW w:w="98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1572"/>
        <w:gridCol w:w="4828"/>
        <w:gridCol w:w="3463"/>
      </w:tblGrid>
      <w:tr>
        <w:trPr/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Allegati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Denominazione allegato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Casi in cui è previsto l’allegato</w:t>
            </w:r>
          </w:p>
        </w:tc>
      </w:tr>
      <w:tr>
        <w:trPr>
          <w:trHeight w:val="437" w:hRule="atLeast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Wingdings" w:cs="Wingdings" w:ascii="Wingdings" w:hAnsi="Wingdings"/>
                <w:sz w:val="24"/>
                <w:szCs w:val="20"/>
                <w:lang w:eastAsia="en-US"/>
              </w:rPr>
              <w:t>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Procura/Delega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Nel caso di procura/delega a presentare la comunicazione</w:t>
            </w:r>
          </w:p>
        </w:tc>
      </w:tr>
      <w:tr>
        <w:trPr/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Wingdings" w:cs="Wingdings" w:ascii="Wingdings" w:hAnsi="Wingdings"/>
                <w:sz w:val="24"/>
                <w:szCs w:val="20"/>
                <w:lang w:eastAsia="en-US"/>
              </w:rPr>
              <w:t>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Copia documento di identità del/i titolare/i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Nel caso in cui la comunicazione non sia sottoscritta in forma digitale e in assenza di procura</w:t>
            </w:r>
          </w:p>
        </w:tc>
      </w:tr>
      <w:tr>
        <w:trPr/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Wingdings" w:cs="Wingdings" w:ascii="Wingdings" w:hAnsi="Wingdings"/>
                <w:sz w:val="24"/>
                <w:szCs w:val="20"/>
                <w:lang w:eastAsia="en-US"/>
              </w:rPr>
              <w:t>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Copia permesso di soggiorno o carta di soggiorno del firmatario (se il permesso scade entro 30 giorni: copia della ricevuta della richiesta di rinnovo)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Nel caso di cittadini extracomunitari</w:t>
            </w:r>
          </w:p>
        </w:tc>
      </w:tr>
      <w:tr>
        <w:trPr>
          <w:trHeight w:val="394" w:hRule="atLeast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eastAsia="Wingdings" w:cs="Wingdings" w:ascii="Wingdings" w:hAnsi="Wingdings"/>
                <w:sz w:val="24"/>
                <w:szCs w:val="20"/>
                <w:lang w:eastAsia="en-US"/>
              </w:rPr>
              <w:t>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Dichiarazione da parte del Notaio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Nel caso in cui l’atto alla base del subingresso sia in corso di registrazione</w:t>
            </w:r>
          </w:p>
        </w:tc>
      </w:tr>
      <w:tr>
        <w:trPr>
          <w:trHeight w:val="102" w:hRule="atLeast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eastAsia="Wingdings" w:cs="Wingdings" w:ascii="Wingdings" w:hAnsi="Wingdings"/>
                <w:sz w:val="24"/>
                <w:szCs w:val="20"/>
                <w:lang w:eastAsia="en-US"/>
              </w:rPr>
              <w:t>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Arial" w:cs="Arial" w:ascii="Arial" w:hAnsi="Arial"/>
                <w:color w:val="000000"/>
                <w:sz w:val="20"/>
                <w:szCs w:val="20"/>
                <w:lang w:eastAsia="it-IT"/>
              </w:rPr>
              <w:t>A</w:t>
            </w:r>
            <w:r>
              <w:rPr>
                <w:rFonts w:eastAsia="Times New Roman" w:cs="Arial" w:ascii="Arial" w:hAnsi="Arial"/>
                <w:iCs/>
                <w:sz w:val="20"/>
                <w:szCs w:val="20"/>
                <w:lang w:eastAsia="it-IT"/>
              </w:rPr>
              <w:t>utorizzazione/DIA/SCIA/Comunicazione originale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Nel caso di cessazione dell’attività</w:t>
            </w:r>
          </w:p>
        </w:tc>
      </w:tr>
    </w:tbl>
    <w:p>
      <w:pPr>
        <w:pStyle w:val="Normal"/>
        <w:widowControl w:val="false"/>
        <w:spacing w:lineRule="auto" w:line="240" w:before="240" w:after="240"/>
        <w:jc w:val="both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Altri allegati (Attestazioni del versamento di oneri, diritti, etc.) - a pena di irricevibilità:</w:t>
      </w:r>
    </w:p>
    <w:tbl>
      <w:tblPr>
        <w:tblW w:w="98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1662"/>
        <w:gridCol w:w="4780"/>
        <w:gridCol w:w="3421"/>
      </w:tblGrid>
      <w:tr>
        <w:trPr/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Allegati</w:t>
            </w: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Denominazione allegato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Casi in cui è previsto l’allegato</w:t>
            </w:r>
          </w:p>
        </w:tc>
      </w:tr>
      <w:tr>
        <w:trPr>
          <w:trHeight w:val="364" w:hRule="atLeast"/>
        </w:trPr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Wingdings" w:cs="Wingdings" w:ascii="Wingdings" w:hAnsi="Wingdings"/>
                <w:sz w:val="24"/>
                <w:szCs w:val="20"/>
                <w:lang w:eastAsia="en-US"/>
              </w:rPr>
              <w:t></w:t>
            </w:r>
          </w:p>
        </w:tc>
        <w:tc>
          <w:tcPr>
            <w:tcW w:w="4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Attestazione del versamento di oneri, diritti, etc.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Nella misura e con le modalità indicate sul sito dell’Amministrazione</w:t>
            </w:r>
          </w:p>
        </w:tc>
      </w:tr>
    </w:tbl>
    <w:p>
      <w:pPr>
        <w:pStyle w:val="Normal"/>
        <w:widowControl w:val="false"/>
        <w:shd w:fill="FFFFFF" w:val="clear"/>
        <w:spacing w:lineRule="auto" w:line="240" w:before="240" w:after="240"/>
        <w:jc w:val="both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REQUISITI PER L’AVVIO E L’ESERCIZIO DELL’ATTIVITÀ</w:t>
      </w:r>
    </w:p>
    <w:p>
      <w:pPr>
        <w:pStyle w:val="Normal"/>
        <w:widowControl w:val="false"/>
        <w:spacing w:lineRule="auto" w:line="240" w:before="240" w:after="240"/>
        <w:jc w:val="both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Requisiti morali:</w:t>
      </w:r>
    </w:p>
    <w:p>
      <w:pPr>
        <w:pStyle w:val="Normal"/>
        <w:suppressAutoHyphens w:val="false"/>
        <w:spacing w:lineRule="auto" w:line="240" w:before="100" w:after="100"/>
        <w:ind w:right="567" w:hanging="0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Costituisce impedimento soggettivo all’esercizio dell’attività, l'applicazione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(art. 67, D.lgs. n. 159/11). In caso di impresa individuale, tali requisiti devono essere posseduti dal titolare; in caso di società/associazioni/organismi collettivi, da legale rappresentante e soggetti indicati dall’art. 85, c.1 e 2, D.lgs. n. 159/2011.</w:t>
      </w:r>
    </w:p>
    <w:p>
      <w:pPr>
        <w:pStyle w:val="Normal"/>
        <w:suppressAutoHyphens w:val="false"/>
        <w:spacing w:lineRule="auto" w:line="240" w:before="100" w:after="100"/>
        <w:jc w:val="both"/>
        <w:rPr/>
      </w:pPr>
      <w:r>
        <w:rPr>
          <w:rFonts w:eastAsia="Times New Roman" w:cs="Arial" w:ascii="Arial" w:hAnsi="Arial"/>
          <w:sz w:val="20"/>
          <w:szCs w:val="20"/>
          <w:lang w:eastAsia="it-IT"/>
        </w:rPr>
        <w:t>Insussistenza delle condizioni previste dagli art. 11</w:t>
      </w:r>
      <w:r>
        <w:rPr>
          <w:rStyle w:val="FootnoteCharacters"/>
          <w:rStyle w:val="FootnoteAnchor"/>
          <w:rFonts w:eastAsia="Times New Roman" w:cs="Arial" w:ascii="Arial" w:hAnsi="Arial"/>
          <w:sz w:val="20"/>
          <w:szCs w:val="20"/>
          <w:lang w:eastAsia="it-IT"/>
        </w:rPr>
        <w:footnoteReference w:id="9"/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e 92</w:t>
      </w:r>
      <w:r>
        <w:rPr>
          <w:rStyle w:val="FootnoteCharacters"/>
          <w:rStyle w:val="FootnoteAnchor"/>
          <w:rFonts w:eastAsia="Times New Roman" w:cs="Arial" w:ascii="Arial" w:hAnsi="Arial"/>
          <w:sz w:val="20"/>
          <w:szCs w:val="20"/>
          <w:lang w:eastAsia="it-IT"/>
        </w:rPr>
        <w:footnoteReference w:id="10"/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del TULPS (R.D. n. 773/1931).</w:t>
      </w:r>
    </w:p>
    <w:p>
      <w:pPr>
        <w:pStyle w:val="Normal"/>
        <w:widowControl w:val="false"/>
        <w:spacing w:lineRule="auto" w:line="240" w:before="240" w:after="240"/>
        <w:jc w:val="both"/>
        <w:rPr>
          <w:rFonts w:ascii="Arial" w:hAnsi="Arial" w:eastAsia="Times New Roman" w:cs="Arial"/>
          <w:b/>
          <w:b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Requisiti oggettivi:</w:t>
      </w:r>
    </w:p>
    <w:p>
      <w:pPr>
        <w:pStyle w:val="Normal"/>
        <w:suppressAutoHyphens w:val="false"/>
        <w:autoSpaceDE w:val="false"/>
        <w:spacing w:lineRule="auto" w:line="240" w:before="100" w:after="100"/>
        <w:ind w:right="658" w:hanging="0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Idoneità dei locali dal punto di vista urbanistico, edilizio, di destinazione d’uso e igienico-sanitario.</w:t>
      </w:r>
    </w:p>
    <w:p>
      <w:pPr>
        <w:pStyle w:val="Normal"/>
        <w:shd w:fill="FFFFFF" w:val="clear"/>
        <w:suppressAutoHyphens w:val="false"/>
        <w:spacing w:lineRule="auto" w:line="240" w:before="100" w:after="100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Rispetto norme sulla sicurezza nei luoghi di lavoro, di cui al D.lgs. n. 81/2006.</w:t>
      </w:r>
    </w:p>
    <w:p>
      <w:pPr>
        <w:pStyle w:val="Normal"/>
        <w:shd w:fill="FFFFFF" w:val="clear"/>
        <w:suppressAutoHyphens w:val="false"/>
        <w:spacing w:lineRule="auto" w:line="240" w:before="100" w:after="100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Conformità delle attrezzature alle prescrizioni delle vigenti normative di sicurezza e igienico-sanitarie settoriali.</w:t>
      </w:r>
    </w:p>
    <w:p>
      <w:pPr>
        <w:pStyle w:val="Normal"/>
        <w:widowControl w:val="false"/>
        <w:shd w:fill="FFFFFF" w:val="clear"/>
        <w:spacing w:lineRule="auto" w:line="240" w:before="240" w:after="240"/>
        <w:jc w:val="both"/>
        <w:rPr>
          <w:rFonts w:ascii="Arial" w:hAnsi="Arial" w:eastAsia="Times New Roman" w:cs="Arial"/>
          <w:b/>
          <w:b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TEMPI SPECIFICI E CONTROLLI</w:t>
      </w:r>
    </w:p>
    <w:p>
      <w:pPr>
        <w:pStyle w:val="Normal"/>
        <w:widowControl w:val="false"/>
        <w:tabs>
          <w:tab w:val="left" w:pos="9782" w:leader="none"/>
        </w:tabs>
        <w:spacing w:lineRule="auto" w:line="240" w:before="240" w:after="240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L’attività, oggetto della Scia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può essere iniziata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 xml:space="preserve"> dalla presentazione della stessa.</w:t>
      </w:r>
    </w:p>
    <w:p>
      <w:pPr>
        <w:pStyle w:val="Normal"/>
        <w:suppressAutoHyphens w:val="false"/>
        <w:spacing w:lineRule="auto" w:line="240" w:before="100" w:after="100"/>
        <w:jc w:val="both"/>
        <w:rPr>
          <w:rFonts w:ascii="Arial" w:hAnsi="Arial" w:eastAsia="Times New Roman" w:cs="Arial"/>
          <w:bCs/>
          <w:color w:val="000000"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color w:val="000000"/>
          <w:sz w:val="20"/>
          <w:szCs w:val="20"/>
          <w:lang w:eastAsia="it-IT"/>
        </w:rPr>
        <w:t xml:space="preserve">Qualora, nei controlli venga accertata la carenza dei requisiti/presupposti previsti dalla normativa vigente il Comune, entro 60 gg. dal ricevimento, invita il privato a conformare l'attività e i suoi effetti, entro un termine non inferiore a trenta giorni, decorso inutilmente il quale, l'attività si intende vietata. 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>Con lo stesso atto, in caso di attestazioni non veritiere o pericolo per la tutela dell'interesse pubblico in materia di ambiente, paesaggio, beni culturali, salute, sicurezza pubblica o difesa nazionale, viene sospesa l'attività. L'atto interrompe il termine di 60 giorni dal ricevimento della Scia per operare i controlli, che ricomincia a decorrere dalla data in cui il privato comunica l'adozione delle misure richieste. In assenza di ulteriori provvedimenti, decorso tale termine, cessano gli effetti della sospensione eventualmente adottata.</w:t>
      </w:r>
    </w:p>
    <w:p>
      <w:pPr>
        <w:pStyle w:val="Normal"/>
        <w:suppressAutoHyphens w:val="false"/>
        <w:spacing w:lineRule="auto" w:line="240" w:before="100" w:after="100"/>
        <w:jc w:val="both"/>
        <w:rPr/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Decorsi 60 giorni dal ricevimento della Scia, l'amministrazione può adottare comunque i suddetti provvedimenti in presenza delle condizioni di cui all'art. 21-nonies, L. n. 241/90 (ossia, entro 18 mesi nel caso di illegittimità degli atti e anche oltre tale termine nell’ipotesi di false rappresentazioni dei fatti o dichiarazioni false/mendaci per effetto di condotte costituenti reato).</w:t>
      </w:r>
      <w:r>
        <w:rPr>
          <w:rFonts w:eastAsia="Times New Roman" w:cs="Arial" w:ascii="Arial" w:hAnsi="Arial"/>
          <w:bCs/>
          <w:color w:val="000000"/>
          <w:sz w:val="20"/>
          <w:szCs w:val="20"/>
          <w:lang w:eastAsia="it-IT"/>
        </w:rPr>
        <w:t xml:space="preserve"> 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>In caso di dichiarazioni false/mendaci è fatta, comunque, salva l’applicazione delle sanzioni ex art. 19, c.6, L. n. 241/1990.</w:t>
      </w:r>
    </w:p>
    <w:p>
      <w:pPr>
        <w:pStyle w:val="Normal"/>
        <w:suppressAutoHyphens w:val="false"/>
        <w:spacing w:lineRule="auto" w:line="240" w:before="100" w:after="100"/>
        <w:jc w:val="both"/>
        <w:rPr/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L’attività oggetto di comunicazione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può essere iniziata dalla sua presentazione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>. In caso di comunicazione irregolare/incompleta, entro ........ giorni dal ricevimento, sono comunicate all'interessato le cause di irregolarità/incompletezza e il termine per l'integrazione prevedendosi, in difetto, l’archiviazione della comunicazione per improcedibilità.</w:t>
      </w:r>
    </w:p>
    <w:p>
      <w:pPr>
        <w:pStyle w:val="Normal"/>
        <w:shd w:fill="FFFFFF" w:val="clear"/>
        <w:suppressAutoHyphens w:val="false"/>
        <w:spacing w:lineRule="auto" w:line="240" w:before="120" w:after="120"/>
        <w:rPr>
          <w:rFonts w:ascii="Arial" w:hAnsi="Arial" w:eastAsia="Times New Roman" w:cs="Arial"/>
          <w:b/>
          <w:b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Le dichiarazioni false/mendaci sono sanzionate ex artt. 71 e ss. del D.P.R. n. 445/2000.</w:t>
      </w:r>
    </w:p>
    <w:sectPr>
      <w:footerReference w:type="default" r:id="rId2"/>
      <w:footerReference w:type="first" r:id="rId3"/>
      <w:footnotePr>
        <w:numFmt w:val="decimal"/>
      </w:footnotePr>
      <w:type w:val="nextPage"/>
      <w:pgSz w:w="11906" w:h="16838"/>
      <w:pgMar w:left="1134" w:right="1134" w:header="0" w:top="1134" w:footer="34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uppressAutoHyphens w:val="false"/>
      <w:spacing w:lineRule="auto" w:line="240" w:before="0" w:after="0"/>
      <w:jc w:val="right"/>
      <w:rPr/>
    </w:pPr>
    <w:bookmarkStart w:id="1" w:name="_Hlk479843000"/>
    <w:bookmarkEnd w:id="1"/>
    <w:r>
      <w:rPr>
        <w:rFonts w:eastAsia="Times New Roman" w:cs="Arial" w:ascii="Arial" w:hAnsi="Arial"/>
        <w:sz w:val="10"/>
        <w:szCs w:val="10"/>
        <w:lang w:eastAsia="it-IT"/>
      </w:rPr>
      <w:t xml:space="preserve">Pag. </w:t>
    </w:r>
    <w:r>
      <w:rPr>
        <w:rFonts w:eastAsia="Times New Roman" w:cs="Arial" w:ascii="Arial" w:hAnsi="Arial"/>
        <w:sz w:val="10"/>
        <w:szCs w:val="10"/>
        <w:lang w:eastAsia="it-IT"/>
      </w:rPr>
      <w:fldChar w:fldCharType="begin"/>
    </w:r>
    <w:r>
      <w:instrText> PAGE </w:instrText>
    </w:r>
    <w:r>
      <w:fldChar w:fldCharType="separate"/>
    </w:r>
    <w:r>
      <w:t>5</w:t>
    </w:r>
    <w:r>
      <w:fldChar w:fldCharType="end"/>
    </w:r>
    <w:r>
      <w:rPr>
        <w:rFonts w:eastAsia="Times New Roman" w:cs="Arial" w:ascii="Arial" w:hAnsi="Arial"/>
        <w:sz w:val="10"/>
        <w:szCs w:val="10"/>
        <w:lang w:eastAsia="it-IT"/>
      </w:rPr>
      <w:t xml:space="preserve"> di </w:t>
    </w:r>
    <w:r>
      <w:rPr>
        <w:rFonts w:eastAsia="Times New Roman" w:cs="Arial" w:ascii="Arial" w:hAnsi="Arial"/>
        <w:bCs/>
        <w:sz w:val="10"/>
        <w:szCs w:val="10"/>
        <w:lang w:eastAsia="it-IT"/>
      </w:rPr>
      <w:fldChar w:fldCharType="begin"/>
    </w:r>
    <w:r>
      <w:instrText> NUMPAGES \* ARABIC </w:instrText>
    </w:r>
    <w:r>
      <w:fldChar w:fldCharType="separate"/>
    </w:r>
    <w:r>
      <w:t>5</w:t>
    </w:r>
    <w: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720" w:type="dxa"/>
      <w:jc w:val="left"/>
      <w:tblInd w:w="0" w:type="dxa"/>
      <w:tblBorders>
        <w:bottom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Grid>
      <w:gridCol w:w="711"/>
      <w:gridCol w:w="1192"/>
      <w:gridCol w:w="7817"/>
    </w:tblGrid>
    <w:tr>
      <w:trPr>
        <w:trHeight w:val="142" w:hRule="atLeast"/>
      </w:trPr>
      <w:tc>
        <w:tcPr>
          <w:tcW w:w="711" w:type="dxa"/>
          <w:vMerge w:val="restart"/>
          <w:tcBorders>
            <w:bottom w:val="single" w:sz="4" w:space="0" w:color="000000"/>
            <w:insideH w:val="single" w:sz="4" w:space="0" w:color="000000"/>
          </w:tcBorders>
          <w:shd w:fill="auto" w:val="clear"/>
          <w:vAlign w:val="center"/>
        </w:tcPr>
        <w:p>
          <w:pPr>
            <w:pStyle w:val="Normal"/>
            <w:suppressAutoHyphens w:val="false"/>
            <w:snapToGrid w:val="false"/>
            <w:spacing w:lineRule="auto" w:line="240" w:before="0" w:after="0"/>
            <w:ind w:right="7370" w:hanging="0"/>
            <w:jc w:val="right"/>
            <w:rPr>
              <w:rFonts w:ascii="Arial" w:hAnsi="Arial" w:eastAsia="Times New Roman" w:cs="Arial"/>
              <w:sz w:val="14"/>
              <w:szCs w:val="14"/>
              <w:lang w:eastAsia="it-IT"/>
            </w:rPr>
          </w:pPr>
          <w:bookmarkStart w:id="2" w:name="_Hlk479842971"/>
          <w:bookmarkEnd w:id="2"/>
          <w:r>
            <w:rPr>
              <w:rFonts w:eastAsia="Times New Roman" w:cs="Times New Roman" w:ascii="Times" w:hAnsi="Times"/>
              <w:sz w:val="24"/>
              <w:szCs w:val="24"/>
              <w:lang w:val="en-US" w:eastAsia="en-US"/>
            </w:rPr>
            <w:drawing>
              <wp:inline distT="0" distB="0" distL="0" distR="0">
                <wp:extent cx="443230" cy="188595"/>
                <wp:effectExtent l="0" t="0" r="0" b="0"/>
                <wp:docPr id="1" name="Immagine 4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4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79" t="-188" r="794" b="-18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3230" cy="188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  <w:insideH w:val="single" w:sz="4" w:space="0" w:color="000000"/>
          </w:tcBorders>
          <w:shd w:fill="FFFFFF" w:val="clear"/>
          <w:vAlign w:val="center"/>
        </w:tcPr>
        <w:p>
          <w:pPr>
            <w:pStyle w:val="Normal"/>
            <w:suppressAutoHyphens w:val="false"/>
            <w:spacing w:lineRule="auto" w:line="240" w:before="0" w:after="0"/>
            <w:jc w:val="center"/>
            <w:rPr>
              <w:rFonts w:ascii="Arial" w:hAnsi="Arial" w:eastAsia="Times New Roman" w:cs="Arial"/>
              <w:sz w:val="10"/>
              <w:szCs w:val="10"/>
              <w:lang w:eastAsia="it-IT"/>
            </w:rPr>
          </w:pPr>
          <w:r>
            <w:rPr>
              <w:rFonts w:eastAsia="Times New Roman" w:cs="Arial" w:ascii="Arial" w:hAnsi="Arial"/>
              <w:sz w:val="10"/>
              <w:szCs w:val="10"/>
              <w:lang w:eastAsia="it-IT"/>
            </w:rPr>
            <w:t>Cod. 22216s.14.1.s</w:t>
          </w:r>
        </w:p>
      </w:tc>
      <w:tc>
        <w:tcPr>
          <w:tcW w:w="7817" w:type="dxa"/>
          <w:tcBorders/>
          <w:shd w:fill="auto" w:val="clear"/>
          <w:vAlign w:val="center"/>
        </w:tcPr>
        <w:p>
          <w:pPr>
            <w:pStyle w:val="Normal"/>
            <w:suppressAutoHyphens w:val="false"/>
            <w:snapToGrid w:val="false"/>
            <w:spacing w:lineRule="auto" w:line="240" w:before="0" w:after="0"/>
            <w:ind w:right="87" w:hanging="0"/>
            <w:rPr>
              <w:rFonts w:ascii="Arial" w:hAnsi="Arial" w:eastAsia="Times New Roman" w:cs="Arial"/>
              <w:sz w:val="10"/>
              <w:szCs w:val="10"/>
              <w:lang w:eastAsia="it-IT"/>
            </w:rPr>
          </w:pPr>
          <w:r>
            <w:rPr>
              <w:rFonts w:eastAsia="Times New Roman" w:cs="Arial" w:ascii="Arial" w:hAnsi="Arial"/>
              <w:sz w:val="10"/>
              <w:szCs w:val="10"/>
              <w:lang w:eastAsia="it-IT"/>
            </w:rPr>
          </w:r>
        </w:p>
      </w:tc>
    </w:tr>
    <w:tr>
      <w:trPr>
        <w:trHeight w:val="142" w:hRule="atLeast"/>
      </w:trPr>
      <w:tc>
        <w:tcPr>
          <w:tcW w:w="711" w:type="dxa"/>
          <w:vMerge w:val="continue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"/>
            <w:suppressAutoHyphens w:val="false"/>
            <w:snapToGrid w:val="false"/>
            <w:spacing w:lineRule="auto" w:line="240" w:before="0" w:after="0"/>
            <w:rPr>
              <w:rFonts w:ascii="Arial" w:hAnsi="Arial" w:eastAsia="Times New Roman" w:cs="Arial"/>
              <w:sz w:val="14"/>
              <w:szCs w:val="14"/>
              <w:lang w:eastAsia="it-IT"/>
            </w:rPr>
          </w:pPr>
          <w:r>
            <w:rPr>
              <w:rFonts w:eastAsia="Times New Roman" w:cs="Arial" w:ascii="Arial" w:hAnsi="Arial"/>
              <w:sz w:val="14"/>
              <w:szCs w:val="14"/>
              <w:lang w:eastAsia="it-IT"/>
            </w:rPr>
          </w:r>
        </w:p>
      </w:tc>
      <w:tc>
        <w:tcPr>
          <w:tcW w:w="1192" w:type="dxa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"/>
            <w:suppressAutoHyphens w:val="false"/>
            <w:spacing w:lineRule="auto" w:line="240" w:before="0" w:after="0"/>
            <w:jc w:val="center"/>
            <w:rPr>
              <w:rFonts w:ascii="Arial" w:hAnsi="Arial" w:eastAsia="Times New Roman" w:cs="Arial"/>
              <w:sz w:val="10"/>
              <w:szCs w:val="10"/>
              <w:lang w:eastAsia="it-IT"/>
            </w:rPr>
          </w:pPr>
          <w:r>
            <w:rPr>
              <w:rFonts w:eastAsia="Times New Roman" w:cs="Arial" w:ascii="Arial" w:hAnsi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tcBorders/>
          <w:shd w:fill="auto" w:val="clear"/>
          <w:vAlign w:val="center"/>
        </w:tcPr>
        <w:p>
          <w:pPr>
            <w:pStyle w:val="Normal"/>
            <w:suppressAutoHyphens w:val="false"/>
            <w:spacing w:lineRule="auto" w:line="240" w:before="0" w:after="0"/>
            <w:ind w:right="87" w:hanging="0"/>
            <w:jc w:val="right"/>
            <w:rPr>
              <w:rFonts w:ascii="Arial" w:hAnsi="Arial" w:eastAsia="Times New Roman" w:cs="Arial"/>
              <w:sz w:val="10"/>
              <w:szCs w:val="10"/>
              <w:lang w:eastAsia="it-IT"/>
            </w:rPr>
          </w:pPr>
          <w:r>
            <w:rPr>
              <w:rFonts w:eastAsia="Times New Roman" w:cs="Arial" w:ascii="Arial" w:hAnsi="Arial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 w:ascii="Arial" w:hAnsi="Arial"/>
              <w:sz w:val="10"/>
              <w:szCs w:val="10"/>
              <w:lang w:eastAsia="it-IT"/>
            </w:rPr>
            <w:fldChar w:fldCharType="begin"/>
          </w:r>
          <w:r>
            <w:instrText> PAGE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eastAsia="Times New Roman" w:cs="Arial" w:ascii="Arial" w:hAnsi="Arial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 w:ascii="Arial" w:hAnsi="Arial"/>
              <w:bCs/>
              <w:sz w:val="10"/>
              <w:szCs w:val="10"/>
              <w:lang w:eastAsia="it-IT"/>
            </w:rPr>
            <w:fldChar w:fldCharType="begin"/>
          </w:r>
          <w:r>
            <w:instrText> NUMPAGES \* ARABIC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>
    <w:pPr>
      <w:pStyle w:val="Normal"/>
      <w:tabs>
        <w:tab w:val="center" w:pos="4819" w:leader="none"/>
        <w:tab w:val="right" w:pos="9638" w:leader="none"/>
      </w:tabs>
      <w:suppressAutoHyphens w:val="false"/>
      <w:spacing w:lineRule="auto" w:line="240" w:before="0" w:after="0"/>
      <w:rPr>
        <w:rFonts w:ascii="Times New Roman" w:hAnsi="Times New Roman" w:eastAsia="Times New Roman" w:cs="Times New Roman"/>
        <w:sz w:val="10"/>
        <w:szCs w:val="24"/>
        <w:lang w:eastAsia="it-IT"/>
      </w:rPr>
    </w:pPr>
    <w:r>
      <w:rPr>
        <w:rFonts w:eastAsia="Times New Roman" w:cs="Times New Roman" w:ascii="Times New Roman" w:hAnsi="Times New Roman"/>
        <w:sz w:val="10"/>
        <w:szCs w:val="24"/>
        <w:lang w:eastAsia="it-IT"/>
      </w:rPr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"/>
        <w:rPr/>
      </w:pPr>
      <w:r>
        <w:rPr>
          <w:rFonts w:eastAsia="Arial" w:cs="Arial" w:ascii="Arial" w:hAnsi="Arial"/>
          <w:sz w:val="16"/>
          <w:szCs w:val="16"/>
        </w:rPr>
        <w:footnoteRef/>
        <w:tab/>
        <w:t xml:space="preserve"> </w:t>
      </w:r>
      <w:r>
        <w:rPr>
          <w:rFonts w:cs="Arial" w:ascii="Arial" w:hAnsi="Arial"/>
          <w:sz w:val="16"/>
          <w:szCs w:val="16"/>
        </w:rPr>
        <w:t>Le istanze, segnalazioni o comunicazioni producono effetti anche in caso di mancato rilascio della ricevuta;</w:t>
      </w:r>
    </w:p>
  </w:footnote>
  <w:footnote w:id="3">
    <w:p>
      <w:pPr>
        <w:pStyle w:val="Footnote"/>
        <w:rPr>
          <w:rFonts w:ascii="Arial" w:hAnsi="Arial" w:cs="Arial"/>
          <w:sz w:val="16"/>
          <w:szCs w:val="16"/>
        </w:rPr>
      </w:pPr>
      <w:r>
        <w:rPr>
          <w:rFonts w:eastAsia="Arial" w:cs="Arial" w:ascii="Arial" w:hAnsi="Arial"/>
          <w:sz w:val="16"/>
          <w:szCs w:val="16"/>
        </w:rPr>
        <w:footnoteRef/>
        <w:tab/>
        <w:t xml:space="preserve"> </w:t>
      </w:r>
      <w:r>
        <w:rPr>
          <w:rFonts w:cs="Arial" w:ascii="Arial" w:hAnsi="Arial"/>
          <w:sz w:val="16"/>
          <w:szCs w:val="16"/>
          <w:lang w:eastAsia="ar-SA"/>
        </w:rPr>
        <w:t>Non è necessario autocertificarle nella comunicazione di cessazione dell’attività;</w:t>
      </w:r>
    </w:p>
  </w:footnote>
  <w:footnote w:id="4">
    <w:p>
      <w:pPr>
        <w:pStyle w:val="Footnote"/>
        <w:rPr>
          <w:rFonts w:ascii="Arial" w:hAnsi="Arial" w:cs="Arial"/>
          <w:sz w:val="16"/>
          <w:szCs w:val="16"/>
        </w:rPr>
      </w:pPr>
      <w:r>
        <w:rPr>
          <w:rFonts w:eastAsia="Arial" w:cs="Arial" w:ascii="Arial" w:hAnsi="Arial"/>
          <w:sz w:val="16"/>
          <w:szCs w:val="16"/>
        </w:rPr>
        <w:footnoteRef/>
        <w:tab/>
        <w:t xml:space="preserve"> </w:t>
      </w:r>
      <w:r>
        <w:rPr>
          <w:rFonts w:cs="Arial" w:ascii="Arial" w:hAnsi="Arial"/>
          <w:sz w:val="16"/>
          <w:szCs w:val="16"/>
          <w:lang w:eastAsia="ar-SA"/>
        </w:rPr>
        <w:t>Non è necessario autocertificarli nella comunicazione di cessazione dell’attività;</w:t>
      </w:r>
    </w:p>
  </w:footnote>
  <w:footnote w:id="5">
    <w:p>
      <w:pPr>
        <w:pStyle w:val="Footnote"/>
        <w:rPr>
          <w:rFonts w:ascii="Arial" w:hAnsi="Arial" w:cs="Arial"/>
          <w:sz w:val="16"/>
          <w:szCs w:val="16"/>
        </w:rPr>
      </w:pPr>
      <w:r>
        <w:rPr>
          <w:rFonts w:eastAsia="Arial" w:cs="Arial" w:ascii="Arial" w:hAnsi="Arial"/>
          <w:sz w:val="16"/>
          <w:szCs w:val="16"/>
        </w:rPr>
        <w:footnoteRef/>
        <w:tab/>
        <w:t xml:space="preserve"> </w:t>
      </w:r>
      <w:r>
        <w:rPr>
          <w:rFonts w:cs="Arial" w:ascii="Arial" w:hAnsi="Arial"/>
          <w:sz w:val="16"/>
          <w:szCs w:val="16"/>
          <w:lang w:eastAsia="ar-SA"/>
        </w:rPr>
        <w:t>Non è necessario autocertificarle nella comunicazione di cessazione dell’attività;</w:t>
      </w:r>
    </w:p>
  </w:footnote>
  <w:footnote w:id="6">
    <w:p>
      <w:pPr>
        <w:pStyle w:val="Footnote"/>
        <w:rPr>
          <w:rFonts w:ascii="Arial" w:hAnsi="Arial" w:cs="Arial"/>
          <w:sz w:val="16"/>
          <w:szCs w:val="16"/>
        </w:rPr>
      </w:pPr>
      <w:r>
        <w:rPr>
          <w:rFonts w:eastAsia="Arial" w:cs="Arial" w:ascii="Arial" w:hAnsi="Arial"/>
          <w:sz w:val="16"/>
          <w:szCs w:val="16"/>
        </w:rPr>
        <w:footnoteRef/>
        <w:tab/>
        <w:t xml:space="preserve"> </w:t>
      </w:r>
      <w:r>
        <w:rPr>
          <w:rFonts w:cs="Arial" w:ascii="Arial" w:hAnsi="Arial"/>
          <w:sz w:val="16"/>
          <w:szCs w:val="16"/>
          <w:lang w:eastAsia="ar-SA"/>
        </w:rPr>
        <w:t>Non è necessario autocertificarli nella comunicazione di cessazione dell’attività</w:t>
      </w:r>
    </w:p>
  </w:footnote>
  <w:footnote w:id="7">
    <w:p>
      <w:pPr>
        <w:pStyle w:val="Footnote"/>
        <w:rPr/>
      </w:pPr>
      <w:r>
        <w:rPr>
          <w:rFonts w:eastAsia="Arial" w:cs="Arial" w:ascii="Arial" w:hAnsi="Arial"/>
          <w:sz w:val="16"/>
          <w:szCs w:val="16"/>
        </w:rPr>
        <w:footnoteRef/>
        <w:tab/>
        <w:t xml:space="preserve"> </w:t>
      </w:r>
      <w:r>
        <w:rPr>
          <w:rFonts w:cs="Arial" w:ascii="Arial" w:hAnsi="Arial"/>
          <w:sz w:val="16"/>
          <w:szCs w:val="16"/>
          <w:lang w:eastAsia="ar-SA"/>
        </w:rPr>
        <w:t>Non è necessario autocertificare nella comunicazione di cessazione dell’attività;</w:t>
      </w:r>
    </w:p>
  </w:footnote>
  <w:footnote w:id="8">
    <w:p>
      <w:pPr>
        <w:pStyle w:val="Footnote"/>
        <w:rPr/>
      </w:pPr>
      <w:r>
        <w:rPr>
          <w:sz w:val="16"/>
          <w:szCs w:val="16"/>
        </w:rPr>
        <w:footnoteRef/>
        <w:tab/>
        <w:t xml:space="preserve"> </w:t>
      </w:r>
      <w:r>
        <w:rPr>
          <w:rFonts w:cs="Arial" w:ascii="Arial" w:hAnsi="Arial"/>
          <w:sz w:val="16"/>
          <w:szCs w:val="16"/>
        </w:rPr>
        <w:t>In relazione alle specifiche tipologie di titolo abilitativo.</w:t>
      </w:r>
    </w:p>
  </w:footnote>
  <w:footnote w:id="9">
    <w:p>
      <w:pPr>
        <w:pStyle w:val="Normal"/>
        <w:spacing w:lineRule="auto" w:line="240" w:before="0" w:after="0"/>
        <w:jc w:val="both"/>
        <w:rPr/>
      </w:pPr>
      <w:r>
        <w:rPr>
          <w:rFonts w:eastAsia="Arial" w:cs="Arial" w:ascii="Arial" w:hAnsi="Arial"/>
          <w:sz w:val="16"/>
          <w:szCs w:val="16"/>
        </w:rPr>
        <w:footnoteRef/>
        <w:tab/>
        <w:t xml:space="preserve"> </w:t>
      </w:r>
      <w:r>
        <w:rPr>
          <w:rFonts w:cs="Arial" w:ascii="Arial" w:hAnsi="Arial"/>
          <w:sz w:val="16"/>
          <w:szCs w:val="16"/>
          <w:lang w:eastAsia="en-US"/>
        </w:rPr>
        <w:t xml:space="preserve">Art. 11 - </w:t>
      </w:r>
      <w:r>
        <w:rPr>
          <w:rFonts w:cs="Arial" w:ascii="Arial" w:hAnsi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>
      <w:pPr>
        <w:pStyle w:val="Normal"/>
        <w:suppressAutoHyphens w:val="false"/>
        <w:spacing w:lineRule="auto" w:line="240" w:before="0" w:after="0"/>
        <w:jc w:val="both"/>
        <w:rPr>
          <w:rFonts w:ascii="Arial" w:hAnsi="Arial" w:cs="Arial"/>
          <w:i/>
          <w:i/>
          <w:sz w:val="16"/>
          <w:szCs w:val="16"/>
          <w:lang w:eastAsia="en-US"/>
        </w:rPr>
      </w:pPr>
      <w:r>
        <w:rPr>
          <w:rFonts w:cs="Arial" w:ascii="Arial" w:hAnsi="Arial"/>
          <w:i/>
          <w:sz w:val="16"/>
          <w:szCs w:val="16"/>
          <w:lang w:eastAsia="en-US"/>
        </w:rPr>
        <w:tab/>
        <w:t>1 a chi ha riportato una condanna a pena restrittiva della libertà personale superiore a tre anni per delitto non colposo e non ha ottenuto la riabilitazione;</w:t>
      </w:r>
    </w:p>
    <w:p>
      <w:pPr>
        <w:pStyle w:val="Normal"/>
        <w:suppressAutoHyphens w:val="false"/>
        <w:spacing w:lineRule="auto" w:line="240" w:before="0" w:after="0"/>
        <w:jc w:val="both"/>
        <w:rPr>
          <w:rFonts w:ascii="Arial" w:hAnsi="Arial" w:cs="Arial"/>
          <w:i/>
          <w:i/>
          <w:sz w:val="16"/>
          <w:szCs w:val="16"/>
          <w:lang w:eastAsia="en-US"/>
        </w:rPr>
      </w:pPr>
      <w:r>
        <w:rPr>
          <w:rFonts w:cs="Arial" w:ascii="Arial" w:hAnsi="Arial"/>
          <w:i/>
          <w:sz w:val="16"/>
          <w:szCs w:val="16"/>
          <w:lang w:eastAsia="en-US"/>
        </w:rPr>
        <w:tab/>
        <w:t xml:space="preserve">2 a chi è sottoposto all'ammonizione o a misura di sicurezza personale o è stato dichiarato delinquente abituale, professionale o per tendenza. </w:t>
      </w:r>
    </w:p>
    <w:p>
      <w:pPr>
        <w:pStyle w:val="Normal"/>
        <w:suppressAutoHyphens w:val="false"/>
        <w:spacing w:lineRule="auto" w:line="240" w:before="0" w:after="0"/>
        <w:jc w:val="both"/>
        <w:rPr>
          <w:rFonts w:ascii="Arial" w:hAnsi="Arial" w:cs="Arial"/>
          <w:i/>
          <w:i/>
          <w:sz w:val="16"/>
          <w:szCs w:val="16"/>
          <w:lang w:eastAsia="en-US"/>
        </w:rPr>
      </w:pPr>
      <w:r>
        <w:rPr>
          <w:rFonts w:cs="Arial" w:ascii="Arial" w:hAnsi="Arial"/>
          <w:i/>
          <w:sz w:val="16"/>
          <w:szCs w:val="16"/>
          <w:lang w:eastAsia="en-US"/>
        </w:rPr>
        <w:tab/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>
      <w:pPr>
        <w:pStyle w:val="Normal"/>
        <w:suppressAutoHyphens w:val="false"/>
        <w:spacing w:lineRule="auto" w:line="240" w:before="0" w:after="0"/>
        <w:jc w:val="both"/>
        <w:rPr>
          <w:rFonts w:ascii="Arial" w:hAnsi="Arial" w:cs="Arial"/>
          <w:i/>
          <w:i/>
          <w:sz w:val="16"/>
          <w:szCs w:val="16"/>
          <w:lang w:eastAsia="en-US"/>
        </w:rPr>
      </w:pPr>
      <w:r>
        <w:rPr>
          <w:rFonts w:cs="Arial" w:ascii="Arial" w:hAnsi="Arial"/>
          <w:i/>
          <w:sz w:val="16"/>
          <w:szCs w:val="16"/>
          <w:lang w:eastAsia="en-US"/>
        </w:rPr>
        <w:tab/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0">
    <w:p>
      <w:pPr>
        <w:pStyle w:val="Normal"/>
        <w:suppressAutoHyphens w:val="false"/>
        <w:autoSpaceDE w:val="false"/>
        <w:spacing w:lineRule="auto" w:line="240" w:before="0" w:after="0"/>
        <w:jc w:val="both"/>
        <w:rPr>
          <w:rFonts w:ascii="Arial" w:hAnsi="Arial" w:eastAsia="Times New Roman" w:cs="Arial"/>
          <w:i/>
          <w:i/>
          <w:sz w:val="16"/>
          <w:szCs w:val="16"/>
          <w:lang w:eastAsia="it-IT"/>
        </w:rPr>
      </w:pPr>
      <w:r>
        <w:rPr>
          <w:rFonts w:eastAsia="Arial" w:cs="Arial" w:ascii="Arial" w:hAnsi="Arial"/>
          <w:sz w:val="16"/>
          <w:szCs w:val="16"/>
        </w:rPr>
        <w:footnoteRef/>
        <w:tab/>
        <w:t xml:space="preserve"> </w:t>
      </w:r>
      <w:r>
        <w:rPr>
          <w:rFonts w:eastAsia="Times New Roman" w:cs="Arial" w:ascii="Arial" w:hAnsi="Arial"/>
          <w:i/>
          <w:sz w:val="16"/>
          <w:szCs w:val="16"/>
          <w:lang w:eastAsia="it-IT"/>
        </w:rPr>
        <w:t>Oltre a quanto è preveduto dall'</w:t>
      </w:r>
      <w:r>
        <w:rPr>
          <w:rFonts w:eastAsia="Times New Roman" w:cs="Arial" w:ascii="Arial" w:hAnsi="Arial"/>
          <w:i/>
          <w:iCs/>
          <w:sz w:val="16"/>
          <w:szCs w:val="16"/>
          <w:lang w:eastAsia="it-IT"/>
        </w:rPr>
        <w:t xml:space="preserve">art. 11, </w:t>
      </w:r>
      <w:r>
        <w:rPr>
          <w:rFonts w:eastAsia="Times New Roman" w:cs="Arial" w:ascii="Arial" w:hAnsi="Arial"/>
          <w:i/>
          <w:sz w:val="16"/>
          <w:szCs w:val="16"/>
          <w:lang w:eastAsia="it-IT"/>
        </w:rPr>
        <w:t>la licenza di esercizio pubblico e l'autorizzazione di cui all'art. 89 non possono essere date a chi sia stato condannato per reati contro la moralità pubblica e il buon costume, o contro la sanità pubblica o per giuochi d'azzardo, o</w:t>
      </w:r>
      <w:r>
        <w:rPr>
          <w:rFonts w:eastAsia="Times New Roman" w:cs="Arial" w:ascii="Arial" w:hAnsi="Arial"/>
          <w:sz w:val="16"/>
          <w:szCs w:val="16"/>
          <w:lang w:eastAsia="it-IT"/>
        </w:rPr>
        <w:t xml:space="preserve"> </w:t>
      </w:r>
      <w:r>
        <w:rPr>
          <w:rFonts w:eastAsia="Times New Roman" w:cs="Arial" w:ascii="Arial" w:hAnsi="Arial"/>
          <w:i/>
          <w:sz w:val="16"/>
          <w:szCs w:val="16"/>
          <w:lang w:eastAsia="it-IT"/>
        </w:rPr>
        <w:t>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8"/>
        </w:tabs>
        <w:ind w:left="720" w:hanging="360"/>
      </w:pPr>
      <w:rPr>
        <w:rFonts w:ascii="Symbol" w:hAnsi="Symbol" w:cs="Symbol" w:hint="default"/>
        <w:sz w:val="20"/>
        <w:szCs w:val="20"/>
        <w:rFonts w:cs="Symbol"/>
        <w:lang w:eastAsia="it-I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8"/>
        </w:tabs>
        <w:ind w:left="720" w:hanging="360"/>
      </w:pPr>
      <w:rPr>
        <w:rFonts w:ascii="Symbol" w:hAnsi="Symbol" w:cs="Symbol" w:hint="default"/>
        <w:sz w:val="20"/>
        <w:szCs w:val="20"/>
        <w:rFonts w:cs="Symbol"/>
        <w:lang w:eastAsia="it-I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8"/>
        </w:tabs>
        <w:ind w:left="720" w:hanging="360"/>
      </w:pPr>
      <w:rPr>
        <w:rFonts w:ascii="Symbol" w:hAnsi="Symbol" w:cs="Symbol" w:hint="default"/>
        <w:sz w:val="20"/>
        <w:szCs w:val="20"/>
        <w:rFonts w:cs="Symbol"/>
        <w:lang w:eastAsia="it-IT"/>
      </w:rPr>
    </w:lvl>
  </w:abstractNum>
  <w:abstractNum w:abstractNumId="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  <w:szCs w:val="20"/>
        <w:rFonts w:cs="Symbol"/>
        <w:lang w:eastAsia="it-I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08"/>
        </w:tabs>
        <w:ind w:left="720" w:hanging="360"/>
      </w:pPr>
      <w:rPr>
        <w:rFonts w:ascii="Symbol" w:hAnsi="Symbol" w:cs="Symbol" w:hint="default"/>
        <w:sz w:val="20"/>
        <w:szCs w:val="20"/>
        <w:rFonts w:cs="Symbol"/>
        <w:lang w:eastAsia="it-I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compat>
    <w:doNotExpandShiftReturn/>
  </w:compat>
  <w:autoHyphenation w:val="false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</w:pPr>
    <w:rPr>
      <w:rFonts w:ascii="Calibri" w:hAnsi="Calibri" w:eastAsia="Calibri" w:cs="Calibri"/>
      <w:color w:val="auto"/>
      <w:sz w:val="22"/>
      <w:szCs w:val="22"/>
      <w:lang w:val="it-IT" w:bidi="ar-SA" w:eastAsia="zh-CN"/>
    </w:rPr>
  </w:style>
  <w:style w:type="character" w:styleId="WW8Num1z0">
    <w:name w:val="WW8Num1z0"/>
    <w:qFormat/>
    <w:rPr>
      <w:rFonts w:ascii="Symbol" w:hAnsi="Symbol" w:cs="Symbol"/>
      <w:sz w:val="20"/>
    </w:rPr>
  </w:style>
  <w:style w:type="character" w:styleId="WW8Num1z1">
    <w:name w:val="WW8Num1z1"/>
    <w:qFormat/>
    <w:rPr>
      <w:rFonts w:ascii="Courier New" w:hAnsi="Courier New" w:cs="Courier New"/>
      <w:sz w:val="20"/>
    </w:rPr>
  </w:style>
  <w:style w:type="character" w:styleId="WW8Num1z2">
    <w:name w:val="WW8Num1z2"/>
    <w:qFormat/>
    <w:rPr>
      <w:rFonts w:ascii="Wingdings" w:hAnsi="Wingdings" w:cs="Wingdings"/>
      <w:sz w:val="20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Symbol" w:hAnsi="Symbol" w:eastAsia="Times New Roman" w:cs="Symbol"/>
      <w:sz w:val="20"/>
      <w:szCs w:val="20"/>
      <w:lang w:eastAsia="it-IT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>
      <w:rFonts w:ascii="Symbol" w:hAnsi="Symbol" w:cs="Symbol"/>
      <w:sz w:val="20"/>
    </w:rPr>
  </w:style>
  <w:style w:type="character" w:styleId="WW8Num4z1">
    <w:name w:val="WW8Num4z1"/>
    <w:qFormat/>
    <w:rPr>
      <w:rFonts w:ascii="Courier New" w:hAnsi="Courier New" w:cs="Courier New"/>
      <w:sz w:val="20"/>
    </w:rPr>
  </w:style>
  <w:style w:type="character" w:styleId="WW8Num4z2">
    <w:name w:val="WW8Num4z2"/>
    <w:qFormat/>
    <w:rPr>
      <w:rFonts w:ascii="Wingdings" w:hAnsi="Wingdings" w:cs="Wingdings"/>
      <w:sz w:val="20"/>
    </w:rPr>
  </w:style>
  <w:style w:type="character" w:styleId="WW8Num5z0">
    <w:name w:val="WW8Num5z0"/>
    <w:qFormat/>
    <w:rPr>
      <w:rFonts w:ascii="Arial" w:hAnsi="Arial" w:eastAsia="Times New Roman" w:cs="Arial"/>
      <w:i w:val="false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0">
    <w:name w:val="WW8Num6z0"/>
    <w:qFormat/>
    <w:rPr>
      <w:rFonts w:ascii="Wingdings" w:hAnsi="Wingdings" w:cs="Wingdings"/>
      <w:sz w:val="24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Symbol" w:hAnsi="Symbol" w:cs="Symbol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9z0">
    <w:name w:val="WW8Num9z0"/>
    <w:qFormat/>
    <w:rPr>
      <w:rFonts w:ascii="Symbol" w:hAnsi="Symbol" w:eastAsia="Times New Roman" w:cs="Symbol"/>
      <w:sz w:val="20"/>
      <w:szCs w:val="20"/>
      <w:lang w:eastAsia="it-IT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10z0">
    <w:name w:val="WW8Num10z0"/>
    <w:qFormat/>
    <w:rPr>
      <w:rFonts w:ascii="Symbol" w:hAnsi="Symbol" w:cs="Symbol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1z0">
    <w:name w:val="WW8Num11z0"/>
    <w:qFormat/>
    <w:rPr>
      <w:rFonts w:ascii="Symbol" w:hAnsi="Symbol" w:eastAsia="Times New Roman" w:cs="Symbol"/>
      <w:sz w:val="20"/>
      <w:szCs w:val="20"/>
      <w:lang w:eastAsia="it-IT"/>
    </w:rPr>
  </w:style>
  <w:style w:type="character" w:styleId="WW8Num11z1">
    <w:name w:val="WW8Num11z1"/>
    <w:qFormat/>
    <w:rPr>
      <w:rFonts w:ascii="Courier New" w:hAnsi="Courier New" w:cs="Courier New"/>
    </w:rPr>
  </w:style>
  <w:style w:type="character" w:styleId="WW8Num11z2">
    <w:name w:val="WW8Num11z2"/>
    <w:qFormat/>
    <w:rPr>
      <w:rFonts w:ascii="Wingdings" w:hAnsi="Wingdings" w:cs="Wingdings"/>
    </w:rPr>
  </w:style>
  <w:style w:type="character" w:styleId="WW8Num12z0">
    <w:name w:val="WW8Num12z0"/>
    <w:qFormat/>
    <w:rPr>
      <w:rFonts w:ascii="Symbol" w:hAnsi="Symbol" w:cs="Symbol"/>
      <w:sz w:val="20"/>
    </w:rPr>
  </w:style>
  <w:style w:type="character" w:styleId="WW8Num12z1">
    <w:name w:val="WW8Num12z1"/>
    <w:qFormat/>
    <w:rPr>
      <w:rFonts w:ascii="Courier New" w:hAnsi="Courier New" w:cs="Courier New"/>
      <w:sz w:val="20"/>
    </w:rPr>
  </w:style>
  <w:style w:type="character" w:styleId="WW8Num12z2">
    <w:name w:val="WW8Num12z2"/>
    <w:qFormat/>
    <w:rPr>
      <w:rFonts w:ascii="Wingdings" w:hAnsi="Wingdings" w:cs="Wingdings"/>
      <w:sz w:val="20"/>
    </w:rPr>
  </w:style>
  <w:style w:type="character" w:styleId="WW8Num13z0">
    <w:name w:val="WW8Num13z0"/>
    <w:qFormat/>
    <w:rPr>
      <w:rFonts w:ascii="Symbol" w:hAnsi="Symbol" w:cs="Symbol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4z0">
    <w:name w:val="WW8Num14z0"/>
    <w:qFormat/>
    <w:rPr>
      <w:rFonts w:ascii="Symbol" w:hAnsi="Symbol" w:eastAsia="Times New Roman" w:cs="Symbol"/>
      <w:sz w:val="20"/>
      <w:szCs w:val="20"/>
      <w:lang w:eastAsia="it-IT"/>
    </w:rPr>
  </w:style>
  <w:style w:type="character" w:styleId="WW8Num14z1">
    <w:name w:val="WW8Num14z1"/>
    <w:qFormat/>
    <w:rPr>
      <w:rFonts w:ascii="Courier New" w:hAnsi="Courier New" w:cs="Courier New"/>
    </w:rPr>
  </w:style>
  <w:style w:type="character" w:styleId="WW8Num14z2">
    <w:name w:val="WW8Num14z2"/>
    <w:qFormat/>
    <w:rPr>
      <w:rFonts w:ascii="Wingdings" w:hAnsi="Wingdings" w:cs="Wingdings"/>
    </w:rPr>
  </w:style>
  <w:style w:type="character" w:styleId="WW8Num15z0">
    <w:name w:val="WW8Num15z0"/>
    <w:qFormat/>
    <w:rPr>
      <w:rFonts w:ascii="Symbol" w:hAnsi="Symbol" w:cs="Symbol"/>
      <w:color w:val="000000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6z0">
    <w:name w:val="WW8Num16z0"/>
    <w:qFormat/>
    <w:rPr>
      <w:rFonts w:ascii="Symbol" w:hAnsi="Symbol" w:cs="Symbol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WW8Num17z0">
    <w:name w:val="WW8Num17z0"/>
    <w:qFormat/>
    <w:rPr>
      <w:rFonts w:ascii="Arial" w:hAnsi="Arial" w:eastAsia="Times New Roman" w:cs="Arial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7z3">
    <w:name w:val="WW8Num17z3"/>
    <w:qFormat/>
    <w:rPr>
      <w:rFonts w:ascii="Symbol" w:hAnsi="Symbol" w:cs="Symbol"/>
    </w:rPr>
  </w:style>
  <w:style w:type="character" w:styleId="WW8Num18z0">
    <w:name w:val="WW8Num18z0"/>
    <w:qFormat/>
    <w:rPr>
      <w:rFonts w:ascii="Symbol" w:hAnsi="Symbol" w:cs="Symbol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WW8Num19z0">
    <w:name w:val="WW8Num19z0"/>
    <w:qFormat/>
    <w:rPr>
      <w:rFonts w:ascii="Symbol" w:hAnsi="Symbol" w:cs="Symbol"/>
      <w:sz w:val="20"/>
    </w:rPr>
  </w:style>
  <w:style w:type="character" w:styleId="WW8Num19z1">
    <w:name w:val="WW8Num19z1"/>
    <w:qFormat/>
    <w:rPr>
      <w:rFonts w:ascii="Courier New" w:hAnsi="Courier New" w:cs="Courier New"/>
      <w:sz w:val="20"/>
    </w:rPr>
  </w:style>
  <w:style w:type="character" w:styleId="WW8Num19z2">
    <w:name w:val="WW8Num19z2"/>
    <w:qFormat/>
    <w:rPr>
      <w:rFonts w:ascii="Wingdings" w:hAnsi="Wingdings" w:cs="Wingdings"/>
      <w:sz w:val="20"/>
    </w:rPr>
  </w:style>
  <w:style w:type="character" w:styleId="WW8Num20z0">
    <w:name w:val="WW8Num20z0"/>
    <w:qFormat/>
    <w:rPr>
      <w:rFonts w:ascii="Symbol" w:hAnsi="Symbol" w:cs="Symbol"/>
    </w:rPr>
  </w:style>
  <w:style w:type="character" w:styleId="WW8Num20z1">
    <w:name w:val="WW8Num20z1"/>
    <w:qFormat/>
    <w:rPr>
      <w:rFonts w:ascii="Courier New" w:hAnsi="Courier New" w:cs="Courier New"/>
    </w:rPr>
  </w:style>
  <w:style w:type="character" w:styleId="WW8Num20z2">
    <w:name w:val="WW8Num20z2"/>
    <w:qFormat/>
    <w:rPr>
      <w:rFonts w:ascii="Wingdings" w:hAnsi="Wingdings" w:cs="Wingdings"/>
    </w:rPr>
  </w:style>
  <w:style w:type="character" w:styleId="WW8Num21z0">
    <w:name w:val="WW8Num21z0"/>
    <w:qFormat/>
    <w:rPr>
      <w:rFonts w:ascii="Wingdings" w:hAnsi="Wingdings" w:cs="Wingdings"/>
      <w:b w:val="false"/>
      <w:i w:val="false"/>
      <w:color w:val="000000"/>
      <w:sz w:val="24"/>
      <w:szCs w:val="24"/>
    </w:rPr>
  </w:style>
  <w:style w:type="character" w:styleId="WW8Num21z2">
    <w:name w:val="WW8Num21z2"/>
    <w:qFormat/>
    <w:rPr>
      <w:rFonts w:ascii="Wingdings" w:hAnsi="Wingdings" w:cs="Wingdings"/>
    </w:rPr>
  </w:style>
  <w:style w:type="character" w:styleId="WW8Num21z3">
    <w:name w:val="WW8Num21z3"/>
    <w:qFormat/>
    <w:rPr>
      <w:rFonts w:ascii="Symbol" w:hAnsi="Symbol" w:cs="Symbol"/>
    </w:rPr>
  </w:style>
  <w:style w:type="character" w:styleId="WW8Num21z4">
    <w:name w:val="WW8Num21z4"/>
    <w:qFormat/>
    <w:rPr>
      <w:rFonts w:ascii="Courier New" w:hAnsi="Courier New" w:cs="Courier New"/>
    </w:rPr>
  </w:style>
  <w:style w:type="character" w:styleId="WW8Num22z0">
    <w:name w:val="WW8Num22z0"/>
    <w:qFormat/>
    <w:rPr>
      <w:rFonts w:ascii="Symbol" w:hAnsi="Symbol" w:eastAsia="Times New Roman" w:cs="Symbol"/>
      <w:sz w:val="20"/>
      <w:szCs w:val="20"/>
      <w:lang w:eastAsia="it-IT"/>
    </w:rPr>
  </w:style>
  <w:style w:type="character" w:styleId="WW8Num22z1">
    <w:name w:val="WW8Num22z1"/>
    <w:qFormat/>
    <w:rPr>
      <w:rFonts w:ascii="Courier New" w:hAnsi="Courier New" w:cs="Courier New"/>
    </w:rPr>
  </w:style>
  <w:style w:type="character" w:styleId="WW8Num22z2">
    <w:name w:val="WW8Num22z2"/>
    <w:qFormat/>
    <w:rPr>
      <w:rFonts w:ascii="Wingdings" w:hAnsi="Wingdings" w:cs="Wingdings"/>
    </w:rPr>
  </w:style>
  <w:style w:type="character" w:styleId="WW8Num23z0">
    <w:name w:val="WW8Num23z0"/>
    <w:qFormat/>
    <w:rPr>
      <w:b/>
      <w:sz w:val="18"/>
      <w:szCs w:val="18"/>
    </w:rPr>
  </w:style>
  <w:style w:type="character" w:styleId="WW8Num23z1">
    <w:name w:val="WW8Num23z1"/>
    <w:qFormat/>
    <w:rPr/>
  </w:style>
  <w:style w:type="character" w:styleId="WW8Num23z2">
    <w:name w:val="WW8Num23z2"/>
    <w:qFormat/>
    <w:rPr/>
  </w:style>
  <w:style w:type="character" w:styleId="WW8Num23z3">
    <w:name w:val="WW8Num23z3"/>
    <w:qFormat/>
    <w:rPr/>
  </w:style>
  <w:style w:type="character" w:styleId="WW8Num23z4">
    <w:name w:val="WW8Num23z4"/>
    <w:qFormat/>
    <w:rPr/>
  </w:style>
  <w:style w:type="character" w:styleId="WW8Num23z5">
    <w:name w:val="WW8Num23z5"/>
    <w:qFormat/>
    <w:rPr/>
  </w:style>
  <w:style w:type="character" w:styleId="WW8Num23z6">
    <w:name w:val="WW8Num23z6"/>
    <w:qFormat/>
    <w:rPr/>
  </w:style>
  <w:style w:type="character" w:styleId="WW8Num23z7">
    <w:name w:val="WW8Num23z7"/>
    <w:qFormat/>
    <w:rPr/>
  </w:style>
  <w:style w:type="character" w:styleId="WW8Num23z8">
    <w:name w:val="WW8Num23z8"/>
    <w:qFormat/>
    <w:rPr/>
  </w:style>
  <w:style w:type="character" w:styleId="Carpredefinitoparagrafo">
    <w:name w:val="Car. predefinito paragrafo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Caratterepredefinitoparagrafo">
    <w:name w:val="Carattere predefinito paragrafo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Carpredefinitoparagrafo1">
    <w:name w:val="Car. predefinito paragrafo1"/>
    <w:qFormat/>
    <w:rPr/>
  </w:style>
  <w:style w:type="character" w:styleId="TestonotaapidipaginaCarattere">
    <w:name w:val="Testo nota a piè di pagina Carattere"/>
    <w:basedOn w:val="Carpredefinitoparagrafo"/>
    <w:qFormat/>
    <w:rPr/>
  </w:style>
  <w:style w:type="character" w:styleId="FootnoteCharacters">
    <w:name w:val="Footnote Characters"/>
    <w:qFormat/>
    <w:rPr>
      <w:vertAlign w:val="superscript"/>
    </w:rPr>
  </w:style>
  <w:style w:type="character" w:styleId="PidipaginaCarattere">
    <w:name w:val="Piè di pagina Carattere"/>
    <w:qFormat/>
    <w:rPr>
      <w:rFonts w:ascii="Calibri" w:hAnsi="Calibri" w:eastAsia="Calibri" w:cs="Calibri"/>
      <w:sz w:val="22"/>
      <w:szCs w:val="22"/>
    </w:rPr>
  </w:style>
  <w:style w:type="character" w:styleId="InternetLink">
    <w:name w:val="Internet Link"/>
    <w:rPr>
      <w:strike w:val="false"/>
      <w:dstrike w:val="false"/>
      <w:color w:val="0000FF"/>
      <w:u w:val="none"/>
    </w:rPr>
  </w:style>
  <w:style w:type="character" w:styleId="FootnoteAnchor">
    <w:name w:val="Footnote Anchor"/>
    <w:rPr>
      <w:vertAlign w:val="superscript"/>
    </w:rPr>
  </w:style>
  <w:style w:type="character" w:styleId="EndnoteAnchor">
    <w:name w:val="Endnote Anchor"/>
    <w:rPr>
      <w:vertAlign w:val="superscript"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Body Text"/>
    <w:basedOn w:val="Normal"/>
    <w:pPr>
      <w:spacing w:before="0" w:after="120"/>
    </w:pPr>
    <w:rPr/>
  </w:style>
  <w:style w:type="paragraph" w:styleId="List">
    <w:name w:val="List"/>
    <w:basedOn w:val="TextBody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Intestazione1">
    <w:name w:val="Intestazione1"/>
    <w:basedOn w:val="Normal"/>
    <w:next w:val="TextBody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Didascalia1">
    <w:name w:val="Didascali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Tahoma"/>
    </w:rPr>
  </w:style>
  <w:style w:type="paragraph" w:styleId="Header">
    <w:name w:val="Header"/>
    <w:basedOn w:val="Normal"/>
    <w:next w:val="TextBody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Footnote">
    <w:name w:val="Footnote Text"/>
    <w:basedOn w:val="Normal"/>
    <w:pPr>
      <w:suppressAutoHyphens w:val="false"/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</w:rPr>
  </w:style>
  <w:style w:type="paragraph" w:styleId="NormaleWeb">
    <w:name w:val="Normale (Web)"/>
    <w:basedOn w:val="Normal"/>
    <w:qFormat/>
    <w:pPr>
      <w:suppressAutoHyphens w:val="false"/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</w:rPr>
  </w:style>
  <w:style w:type="paragraph" w:styleId="Footer">
    <w:name w:val="Footer"/>
    <w:basedOn w:val="Normal"/>
    <w:pPr/>
    <w:rPr/>
  </w:style>
  <w:style w:type="paragraph" w:styleId="Paragrafoelenco">
    <w:name w:val="Paragrafo elenco"/>
    <w:basedOn w:val="Normal"/>
    <w:qFormat/>
    <w:pPr>
      <w:suppressAutoHyphens w:val="false"/>
      <w:spacing w:before="0" w:after="200"/>
      <w:ind w:left="720" w:hanging="0"/>
      <w:contextualSpacing/>
    </w:pPr>
    <w:rPr>
      <w:rFonts w:cs="Times New Roman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LibreOffice/5.3.6.1$Linux_X86_64 LibreOffice_project/30$Build-1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2017-10-02T10:11:00Z</dcterms:created>
  <dc:creator>Grafiche E.Gaspari S.r.l.</dc:creator>
  <dc:description/>
  <dc:language>en-US</dc:language>
  <cp:lastModifiedBy>Andrea Piredda</cp:lastModifiedBy>
  <cp:lastPrinted>2112-12-31T23:00:00Z</cp:lastPrinted>
  <dcterms:modified xsi:type="dcterms:W3CDTF">2017-10-02T10:36:00Z</dcterms:modified>
  <cp:revision>5</cp:revision>
  <dc:subject/>
  <dc:title/>
</cp:coreProperties>
</file>